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939E" w14:textId="0C63A85C" w:rsidR="009B6D73" w:rsidRPr="002F6CA4" w:rsidRDefault="00BD2175" w:rsidP="00BD2175">
      <w:pPr>
        <w:spacing w:before="60" w:after="60" w:line="264" w:lineRule="auto"/>
        <w:contextualSpacing/>
        <w:jc w:val="center"/>
        <w:rPr>
          <w:rFonts w:ascii="Times New Roman" w:hAnsi="Times New Roman" w:cs="Times New Roman"/>
          <w:color w:val="3333FF"/>
          <w:sz w:val="24"/>
          <w:szCs w:val="24"/>
        </w:rPr>
      </w:pPr>
      <w:r w:rsidRPr="00BD2175">
        <w:rPr>
          <w:rFonts w:ascii="Times New Roman" w:hAnsi="Times New Roman" w:cs="Times New Roman"/>
          <w:b/>
          <w:bCs/>
          <w:lang w:val="en-TH"/>
        </w:rPr>
        <w:t>Enhancing English Listening Skills Through Inquiry-Based Learning (IBL) Among University Business Students: A Case Study at P</w:t>
      </w:r>
      <w:r>
        <w:rPr>
          <w:rFonts w:ascii="Times New Roman" w:hAnsi="Times New Roman" w:cs="Times New Roman"/>
          <w:b/>
          <w:bCs/>
          <w:lang w:val="en-TH"/>
        </w:rPr>
        <w:t>CRU</w:t>
      </w:r>
    </w:p>
    <w:p w14:paraId="0BEFBF43" w14:textId="77777777" w:rsidR="009B6D73" w:rsidRDefault="009B6D73" w:rsidP="009B6D73">
      <w:pPr>
        <w:tabs>
          <w:tab w:val="left" w:pos="864"/>
          <w:tab w:val="left" w:pos="1152"/>
        </w:tabs>
        <w:spacing w:before="60" w:after="60" w:line="264" w:lineRule="auto"/>
        <w:ind w:left="360" w:hanging="360"/>
        <w:contextualSpacing/>
        <w:jc w:val="center"/>
        <w:rPr>
          <w:rFonts w:ascii="Times New Roman" w:hAnsi="Times New Roman" w:cs="Times New Roman"/>
          <w:color w:val="3333FF"/>
          <w:sz w:val="24"/>
          <w:szCs w:val="24"/>
        </w:rPr>
      </w:pPr>
    </w:p>
    <w:p w14:paraId="32274A53" w14:textId="77777777" w:rsidR="009B6D73" w:rsidRPr="002F6CA4" w:rsidRDefault="009B6D73" w:rsidP="009B6D73">
      <w:pPr>
        <w:pStyle w:val="NoSpacing"/>
        <w:rPr>
          <w:rFonts w:ascii="Times New Roman" w:hAnsi="Times New Roman" w:cs="Times New Roman"/>
          <w:sz w:val="24"/>
          <w:szCs w:val="24"/>
        </w:rPr>
      </w:pPr>
    </w:p>
    <w:p w14:paraId="4A40DD23" w14:textId="6DB20014" w:rsidR="009B6D73" w:rsidRPr="00185147" w:rsidRDefault="00BD2175" w:rsidP="009B6D73">
      <w:pPr>
        <w:pStyle w:val="NoSpacing"/>
        <w:jc w:val="center"/>
        <w:rPr>
          <w:rFonts w:ascii="Times New Roman" w:hAnsi="Times New Roman" w:cs="Angsana New"/>
          <w:b/>
          <w:bCs/>
          <w:sz w:val="24"/>
          <w:szCs w:val="30"/>
        </w:rPr>
      </w:pPr>
      <w:proofErr w:type="spellStart"/>
      <w:r>
        <w:rPr>
          <w:rFonts w:ascii="Times New Roman" w:hAnsi="Times New Roman" w:cs="Angsana New"/>
          <w:b/>
          <w:bCs/>
          <w:sz w:val="24"/>
          <w:szCs w:val="30"/>
        </w:rPr>
        <w:t>Jeerapan</w:t>
      </w:r>
      <w:proofErr w:type="spellEnd"/>
      <w:r>
        <w:rPr>
          <w:rFonts w:ascii="Times New Roman" w:hAnsi="Times New Roman" w:cs="Angsana New"/>
          <w:b/>
          <w:bCs/>
          <w:sz w:val="24"/>
          <w:szCs w:val="30"/>
        </w:rPr>
        <w:t xml:space="preserve"> </w:t>
      </w:r>
      <w:proofErr w:type="spellStart"/>
      <w:r>
        <w:rPr>
          <w:rFonts w:ascii="Times New Roman" w:hAnsi="Times New Roman" w:cs="Angsana New"/>
          <w:b/>
          <w:bCs/>
          <w:sz w:val="24"/>
          <w:szCs w:val="30"/>
        </w:rPr>
        <w:t>Phomprasert</w:t>
      </w:r>
      <w:proofErr w:type="spellEnd"/>
    </w:p>
    <w:p w14:paraId="35707124" w14:textId="77777777" w:rsidR="009B6D73" w:rsidRPr="00C9777B" w:rsidRDefault="009B6D73" w:rsidP="009B6D73">
      <w:pPr>
        <w:pStyle w:val="NoSpacing"/>
        <w:rPr>
          <w:rFonts w:ascii="Times New Roman" w:hAnsi="Times New Roman"/>
          <w:sz w:val="24"/>
          <w:szCs w:val="24"/>
          <w:cs/>
        </w:rPr>
      </w:pPr>
    </w:p>
    <w:p w14:paraId="35B13B5C" w14:textId="2CD1FEEE" w:rsidR="009B6D73" w:rsidRDefault="009B6D73" w:rsidP="009B6D73">
      <w:pPr>
        <w:pStyle w:val="NoSpacing"/>
        <w:jc w:val="center"/>
        <w:rPr>
          <w:rFonts w:ascii="Times New Roman" w:hAnsi="Times New Roman" w:cs="Times New Roman"/>
          <w:sz w:val="24"/>
          <w:szCs w:val="24"/>
        </w:rPr>
      </w:pPr>
      <w:r w:rsidRPr="009A08A1">
        <w:rPr>
          <w:rFonts w:ascii="Times New Roman" w:hAnsi="Times New Roman" w:cs="Times New Roman"/>
          <w:sz w:val="24"/>
          <w:szCs w:val="24"/>
        </w:rPr>
        <w:t>Faculty of Humanities</w:t>
      </w:r>
      <w:r w:rsidR="00AB1769">
        <w:rPr>
          <w:rFonts w:ascii="Times New Roman" w:hAnsi="Times New Roman" w:cs="Times New Roman"/>
          <w:sz w:val="24"/>
          <w:szCs w:val="24"/>
        </w:rPr>
        <w:t xml:space="preserve"> and Social Sciences</w:t>
      </w:r>
      <w:r w:rsidRPr="00B80560">
        <w:rPr>
          <w:rFonts w:ascii="Times New Roman" w:hAnsi="Times New Roman" w:cs="Times New Roman"/>
          <w:color w:val="000000" w:themeColor="text1"/>
          <w:sz w:val="24"/>
          <w:szCs w:val="24"/>
          <w:vertAlign w:val="superscript"/>
        </w:rPr>
        <w:t>1</w:t>
      </w:r>
    </w:p>
    <w:p w14:paraId="146BB940" w14:textId="250F0EBD" w:rsidR="00AB1769" w:rsidRDefault="00BD2175" w:rsidP="00AB1769">
      <w:pPr>
        <w:pStyle w:val="NoSpacing"/>
        <w:jc w:val="center"/>
        <w:rPr>
          <w:rFonts w:ascii="Times New Roman" w:hAnsi="Times New Roman" w:cs="Times New Roman"/>
          <w:sz w:val="24"/>
          <w:szCs w:val="24"/>
        </w:rPr>
      </w:pPr>
      <w:r>
        <w:rPr>
          <w:rFonts w:ascii="Times New Roman" w:hAnsi="Times New Roman" w:cs="Times New Roman"/>
          <w:sz w:val="24"/>
          <w:szCs w:val="24"/>
        </w:rPr>
        <w:t>Phetchabun</w:t>
      </w:r>
      <w:r w:rsidR="00AB1769">
        <w:rPr>
          <w:rFonts w:ascii="Times New Roman" w:hAnsi="Times New Roman" w:cs="Times New Roman"/>
          <w:sz w:val="24"/>
          <w:szCs w:val="24"/>
        </w:rPr>
        <w:t xml:space="preserve"> Rajabhat </w:t>
      </w:r>
      <w:r w:rsidR="00AB1769" w:rsidRPr="00D87700">
        <w:rPr>
          <w:rFonts w:ascii="Times New Roman" w:hAnsi="Times New Roman" w:cs="Times New Roman"/>
          <w:sz w:val="24"/>
          <w:szCs w:val="24"/>
        </w:rPr>
        <w:t>University</w:t>
      </w:r>
    </w:p>
    <w:p w14:paraId="6BA13D8C" w14:textId="50CFB4DE" w:rsidR="009B6D73" w:rsidRPr="005F3B54" w:rsidRDefault="00BD2175" w:rsidP="009B6D73">
      <w:pPr>
        <w:pStyle w:val="NoSpacing"/>
        <w:jc w:val="center"/>
        <w:rPr>
          <w:rFonts w:ascii="Times New Roman" w:hAnsi="Times New Roman"/>
          <w:sz w:val="24"/>
          <w:szCs w:val="24"/>
          <w:cs/>
        </w:rPr>
      </w:pPr>
      <w:r>
        <w:rPr>
          <w:rFonts w:ascii="Times New Roman" w:hAnsi="Times New Roman" w:cs="Times New Roman"/>
          <w:sz w:val="24"/>
          <w:szCs w:val="24"/>
        </w:rPr>
        <w:t>Phetchabun 67000</w:t>
      </w:r>
      <w:r w:rsidR="009B6D73" w:rsidRPr="002F6CA4">
        <w:rPr>
          <w:rFonts w:ascii="Times New Roman" w:hAnsi="Times New Roman" w:cs="Times New Roman"/>
          <w:sz w:val="24"/>
          <w:szCs w:val="24"/>
        </w:rPr>
        <w:t>, Thailand</w:t>
      </w:r>
    </w:p>
    <w:p w14:paraId="23C31261" w14:textId="22DFD2C2" w:rsidR="009B6D73" w:rsidRPr="002F6CA4" w:rsidRDefault="009B6D73" w:rsidP="009B6D73">
      <w:pPr>
        <w:pStyle w:val="NoSpacing"/>
        <w:jc w:val="center"/>
        <w:rPr>
          <w:rFonts w:ascii="Times New Roman" w:hAnsi="Times New Roman" w:cs="Times New Roman"/>
          <w:sz w:val="24"/>
          <w:szCs w:val="24"/>
        </w:rPr>
      </w:pPr>
      <w:r w:rsidRPr="002F6CA4">
        <w:rPr>
          <w:rFonts w:ascii="Times New Roman" w:hAnsi="Times New Roman" w:cs="Times New Roman"/>
          <w:sz w:val="24"/>
          <w:szCs w:val="24"/>
        </w:rPr>
        <w:t xml:space="preserve">Email: </w:t>
      </w:r>
      <w:hyperlink r:id="rId8" w:history="1">
        <w:r w:rsidR="00BD2175" w:rsidRPr="00D11459">
          <w:rPr>
            <w:rStyle w:val="Hyperlink"/>
            <w:rFonts w:ascii="Times New Roman" w:hAnsi="Times New Roman" w:cs="Times New Roman"/>
            <w:sz w:val="24"/>
            <w:szCs w:val="24"/>
          </w:rPr>
          <w:t>jeerapan72@pcru.ac.th</w:t>
        </w:r>
      </w:hyperlink>
      <w:r>
        <w:rPr>
          <w:rFonts w:ascii="Times New Roman" w:hAnsi="Times New Roman" w:cs="Times New Roman"/>
          <w:sz w:val="24"/>
          <w:szCs w:val="24"/>
        </w:rPr>
        <w:t xml:space="preserve"> </w:t>
      </w:r>
    </w:p>
    <w:p w14:paraId="04C3AC44" w14:textId="77777777" w:rsidR="009B6D73" w:rsidRDefault="009B6D73" w:rsidP="009B6D73">
      <w:pPr>
        <w:tabs>
          <w:tab w:val="left" w:pos="864"/>
          <w:tab w:val="left" w:pos="1152"/>
        </w:tabs>
        <w:spacing w:before="60" w:after="60" w:line="264" w:lineRule="auto"/>
        <w:ind w:left="360" w:hanging="360"/>
        <w:contextualSpacing/>
        <w:rPr>
          <w:rFonts w:ascii="Times New Roman" w:hAnsi="Times New Roman" w:cs="Times New Roman"/>
          <w:color w:val="3333FF"/>
          <w:sz w:val="24"/>
          <w:szCs w:val="24"/>
        </w:rPr>
      </w:pPr>
    </w:p>
    <w:p w14:paraId="6517365A" w14:textId="77777777" w:rsidR="00BD2175" w:rsidRPr="00BD2175" w:rsidRDefault="00BD2175" w:rsidP="009B6D73">
      <w:pPr>
        <w:tabs>
          <w:tab w:val="left" w:pos="864"/>
          <w:tab w:val="left" w:pos="1152"/>
        </w:tabs>
        <w:spacing w:before="60" w:after="60" w:line="264" w:lineRule="auto"/>
        <w:ind w:left="360" w:hanging="360"/>
        <w:contextualSpacing/>
        <w:rPr>
          <w:rFonts w:ascii="Times New Roman" w:hAnsi="Times New Roman" w:cs="Times New Roman"/>
          <w:color w:val="3333FF"/>
          <w:sz w:val="24"/>
          <w:szCs w:val="24"/>
          <w:lang w:val="en-AU"/>
        </w:rPr>
      </w:pPr>
    </w:p>
    <w:p w14:paraId="61B46905" w14:textId="30B2F8AE" w:rsidR="009B6D73" w:rsidRPr="002F6CA4" w:rsidRDefault="009B6D73" w:rsidP="009B6D73">
      <w:pPr>
        <w:rPr>
          <w:rFonts w:ascii="Times New Roman" w:eastAsiaTheme="minorHAnsi" w:hAnsi="Times New Roman" w:cs="Times New Roman"/>
          <w:sz w:val="24"/>
          <w:szCs w:val="24"/>
        </w:rPr>
      </w:pPr>
      <w:bookmarkStart w:id="0" w:name="_Hlk156219156"/>
      <w:r w:rsidRPr="002F6CA4">
        <w:rPr>
          <w:rFonts w:ascii="Times New Roman" w:hAnsi="Times New Roman" w:cs="Times New Roman"/>
          <w:b/>
          <w:bCs/>
          <w:sz w:val="24"/>
          <w:szCs w:val="24"/>
        </w:rPr>
        <w:t>Abstract</w:t>
      </w:r>
      <w:r w:rsidRPr="002F6CA4">
        <w:rPr>
          <w:rFonts w:ascii="Times New Roman" w:hAnsi="Times New Roman" w:cs="Times New Roman"/>
          <w:b/>
          <w:bCs/>
          <w:sz w:val="24"/>
          <w:szCs w:val="24"/>
          <w:cs/>
        </w:rPr>
        <w:t xml:space="preserve"> </w:t>
      </w:r>
    </w:p>
    <w:p w14:paraId="722C9BCB" w14:textId="20AA88C5" w:rsidR="009B6D73" w:rsidRDefault="009A41ED" w:rsidP="00DA1D9B">
      <w:pPr>
        <w:pStyle w:val="NoSpacing"/>
        <w:jc w:val="both"/>
        <w:rPr>
          <w:rFonts w:ascii="Times New Roman" w:hAnsi="Times New Roman" w:cs="Times New Roman"/>
          <w:sz w:val="24"/>
          <w:szCs w:val="24"/>
          <w:lang w:val="en-TH"/>
        </w:rPr>
      </w:pPr>
      <w:r w:rsidRPr="009A41ED">
        <w:rPr>
          <w:rFonts w:ascii="Times New Roman" w:hAnsi="Times New Roman" w:cs="Times New Roman"/>
          <w:sz w:val="24"/>
          <w:szCs w:val="24"/>
          <w:lang w:val="en-TH"/>
        </w:rPr>
        <w:t xml:space="preserve">This study investigated the impact of Inquiry-Based Learning (IBL) on the English listening skills of Business English </w:t>
      </w:r>
      <w:r w:rsidR="00DA1D9B">
        <w:rPr>
          <w:rFonts w:ascii="Times New Roman" w:hAnsi="Times New Roman" w:cs="Times New Roman"/>
          <w:sz w:val="24"/>
          <w:szCs w:val="24"/>
          <w:lang w:val="en-TH"/>
        </w:rPr>
        <w:t>M</w:t>
      </w:r>
      <w:r w:rsidRPr="009A41ED">
        <w:rPr>
          <w:rFonts w:ascii="Times New Roman" w:hAnsi="Times New Roman" w:cs="Times New Roman"/>
          <w:sz w:val="24"/>
          <w:szCs w:val="24"/>
          <w:lang w:val="en-TH"/>
        </w:rPr>
        <w:t>ajor at Phetchabun Rajabhat University, Thailand. It aimed to quantify improvements in listening comprehension and explore student perceptions of the IBL experience. Thirty-five undergraduate students engaged in a 12-week IBL program using 12 English listening lessons designed around the Inquiry Cycle (5 Es). Pre- and post-tests evaluated listening proficiency, while a questionnaire gathered data on attitudes, motivation, and strategy use. Data analysis included descriptive statistics (mean, percentage, standard deviation) and t-tests.Findings revealed a significant enhancement in students' ability to comprehend English video clips focused on business content. Post-intervention, 76.89% of students attained good to very good understanding levels. Additionally, qualitative responses indicated positive attitudes towards the IBL approach, suggesting increased engagement and strategic listening behavior.This study highlights the potential of IBL to boost English listening skills within business English contexts. Results demonstrate IBL's effectiveness in improving both listening comprehension and fostering positive learner attitudes towards listening tasks. Findings hold valuable implications for the design of future IBL-focused English listening interventions.</w:t>
      </w:r>
    </w:p>
    <w:p w14:paraId="3A94974D" w14:textId="77777777" w:rsidR="009A41ED" w:rsidRPr="00BD2175" w:rsidRDefault="009A41ED" w:rsidP="00DA1D9B">
      <w:pPr>
        <w:pStyle w:val="NoSpacing"/>
        <w:jc w:val="both"/>
        <w:rPr>
          <w:rFonts w:ascii="Times New Roman" w:hAnsi="Times New Roman" w:cs="Times New Roman"/>
          <w:sz w:val="24"/>
          <w:szCs w:val="24"/>
          <w:lang w:val="en-TH"/>
        </w:rPr>
      </w:pPr>
    </w:p>
    <w:p w14:paraId="34619E8D" w14:textId="63F1438D" w:rsidR="009B6D73" w:rsidRDefault="009B6D73" w:rsidP="009B6D73">
      <w:pPr>
        <w:pStyle w:val="NoSpacing"/>
        <w:ind w:right="95"/>
        <w:jc w:val="both"/>
        <w:rPr>
          <w:rFonts w:ascii="TH SarabunPSK" w:hAnsi="TH SarabunPSK" w:cs="TH SarabunPSK"/>
          <w:sz w:val="32"/>
          <w:szCs w:val="32"/>
        </w:rPr>
      </w:pPr>
      <w:r w:rsidRPr="00D73400">
        <w:rPr>
          <w:rFonts w:ascii="Times New Roman" w:hAnsi="Times New Roman" w:cs="Times New Roman"/>
          <w:b/>
          <w:bCs/>
          <w:sz w:val="24"/>
          <w:szCs w:val="24"/>
        </w:rPr>
        <w:t>Keywords</w:t>
      </w:r>
      <w:r w:rsidRPr="00D73400">
        <w:rPr>
          <w:rFonts w:ascii="Times New Roman" w:hAnsi="Times New Roman" w:cs="Angsana New" w:hint="cs"/>
          <w:b/>
          <w:bCs/>
          <w:sz w:val="24"/>
          <w:szCs w:val="24"/>
          <w:cs/>
        </w:rPr>
        <w:t xml:space="preserve"> </w:t>
      </w:r>
      <w:r w:rsidRPr="00D73400">
        <w:rPr>
          <w:rFonts w:ascii="Times New Roman" w:hAnsi="Times New Roman" w:cs="Angsana New"/>
          <w:b/>
          <w:bCs/>
          <w:sz w:val="24"/>
          <w:szCs w:val="24"/>
        </w:rPr>
        <w:t>words</w:t>
      </w:r>
      <w:r w:rsidRPr="00D73400">
        <w:rPr>
          <w:rFonts w:ascii="Times New Roman" w:hAnsi="Times New Roman" w:cs="Times New Roman"/>
          <w:b/>
          <w:bCs/>
          <w:sz w:val="24"/>
          <w:szCs w:val="24"/>
        </w:rPr>
        <w:t>:</w:t>
      </w:r>
      <w:r w:rsidRPr="002F6CA4">
        <w:rPr>
          <w:rFonts w:ascii="Times New Roman" w:hAnsi="Times New Roman" w:cs="Times New Roman"/>
          <w:b/>
          <w:bCs/>
          <w:sz w:val="24"/>
          <w:szCs w:val="24"/>
        </w:rPr>
        <w:t xml:space="preserve"> </w:t>
      </w:r>
      <w:r w:rsidR="00BD2175" w:rsidRPr="00992B95">
        <w:rPr>
          <w:rFonts w:ascii="Times New Roman" w:hAnsi="Times New Roman" w:cs="Times New Roman"/>
          <w:szCs w:val="24"/>
        </w:rPr>
        <w:t>Inquiry-Based Learning (IBL</w:t>
      </w:r>
      <w:proofErr w:type="gramStart"/>
      <w:r w:rsidR="00BD2175" w:rsidRPr="00992B95">
        <w:rPr>
          <w:rFonts w:ascii="Times New Roman" w:hAnsi="Times New Roman" w:cs="Times New Roman"/>
          <w:szCs w:val="24"/>
        </w:rPr>
        <w:t>)</w:t>
      </w:r>
      <w:r w:rsidRPr="00C22ECB">
        <w:rPr>
          <w:rFonts w:ascii="Times New Roman" w:hAnsi="Times New Roman" w:cs="Times New Roman"/>
          <w:sz w:val="24"/>
          <w:szCs w:val="24"/>
        </w:rPr>
        <w:t xml:space="preserve">; </w:t>
      </w:r>
      <w:r w:rsidRPr="002F6CA4">
        <w:rPr>
          <w:rFonts w:ascii="Times New Roman" w:hAnsi="Times New Roman" w:cs="Times New Roman"/>
          <w:sz w:val="24"/>
          <w:szCs w:val="24"/>
        </w:rPr>
        <w:t xml:space="preserve"> </w:t>
      </w:r>
      <w:r w:rsidR="00BD2175" w:rsidRPr="00992B95">
        <w:rPr>
          <w:rFonts w:ascii="Times New Roman" w:hAnsi="Times New Roman" w:cs="Times New Roman"/>
          <w:szCs w:val="24"/>
        </w:rPr>
        <w:t>English</w:t>
      </w:r>
      <w:proofErr w:type="gramEnd"/>
      <w:r w:rsidR="00BD2175" w:rsidRPr="00992B95">
        <w:rPr>
          <w:rFonts w:ascii="Times New Roman" w:hAnsi="Times New Roman" w:cs="Times New Roman"/>
          <w:szCs w:val="24"/>
        </w:rPr>
        <w:t xml:space="preserve"> listening skills</w:t>
      </w:r>
      <w:r w:rsidRPr="002F6CA4">
        <w:rPr>
          <w:rFonts w:ascii="Times New Roman" w:hAnsi="Times New Roman" w:cs="Times New Roman"/>
          <w:sz w:val="24"/>
          <w:szCs w:val="24"/>
        </w:rPr>
        <w:t xml:space="preserve">; </w:t>
      </w:r>
      <w:r w:rsidR="00BD2175" w:rsidRPr="00992B95">
        <w:rPr>
          <w:rFonts w:ascii="Times New Roman" w:hAnsi="Times New Roman" w:cs="Times New Roman"/>
          <w:szCs w:val="24"/>
        </w:rPr>
        <w:t>Collaborative learning</w:t>
      </w:r>
      <w:r w:rsidR="00BD2175">
        <w:rPr>
          <w:rFonts w:ascii="Times New Roman" w:hAnsi="Times New Roman" w:cs="Times New Roman"/>
          <w:szCs w:val="24"/>
        </w:rPr>
        <w:t>;</w:t>
      </w:r>
      <w:r w:rsidR="00BD2175" w:rsidRPr="00BD2175">
        <w:t xml:space="preserve"> </w:t>
      </w:r>
      <w:r w:rsidR="00BD2175" w:rsidRPr="00BD2175">
        <w:rPr>
          <w:rFonts w:ascii="Times New Roman" w:hAnsi="Times New Roman" w:cs="Times New Roman"/>
          <w:szCs w:val="24"/>
        </w:rPr>
        <w:t>English proficiency development</w:t>
      </w:r>
    </w:p>
    <w:bookmarkEnd w:id="0"/>
    <w:p w14:paraId="200C5EF7" w14:textId="77777777" w:rsidR="009B6D73" w:rsidRDefault="009B6D73" w:rsidP="009B6D73">
      <w:pPr>
        <w:pStyle w:val="NoSpacing"/>
        <w:ind w:right="95"/>
        <w:jc w:val="both"/>
        <w:rPr>
          <w:rFonts w:ascii="TH SarabunPSK" w:hAnsi="TH SarabunPSK" w:cs="TH SarabunPSK"/>
          <w:sz w:val="32"/>
          <w:szCs w:val="32"/>
        </w:rPr>
      </w:pPr>
    </w:p>
    <w:p w14:paraId="24E1E59D" w14:textId="0932860A" w:rsidR="00EC3D09" w:rsidRDefault="00EC3D09" w:rsidP="009B6D73">
      <w:pPr>
        <w:pStyle w:val="NoSpacing"/>
        <w:ind w:right="95"/>
        <w:jc w:val="both"/>
        <w:rPr>
          <w:rFonts w:ascii="TH SarabunPSK" w:hAnsi="TH SarabunPSK" w:cs="TH SarabunPSK"/>
          <w:sz w:val="32"/>
          <w:szCs w:val="32"/>
        </w:rPr>
      </w:pPr>
    </w:p>
    <w:p w14:paraId="08EAA781" w14:textId="77777777" w:rsidR="00BD2175" w:rsidRDefault="00BD2175" w:rsidP="009B6D73">
      <w:pPr>
        <w:pStyle w:val="NoSpacing"/>
        <w:ind w:right="95"/>
        <w:jc w:val="both"/>
        <w:rPr>
          <w:rFonts w:ascii="TH SarabunPSK" w:hAnsi="TH SarabunPSK" w:cs="TH SarabunPSK"/>
          <w:sz w:val="32"/>
          <w:szCs w:val="32"/>
        </w:rPr>
      </w:pPr>
    </w:p>
    <w:p w14:paraId="38A79504" w14:textId="77777777" w:rsidR="00EC3D09" w:rsidRDefault="00EC3D09" w:rsidP="009B6D73">
      <w:pPr>
        <w:pStyle w:val="NoSpacing"/>
        <w:ind w:right="95"/>
        <w:jc w:val="both"/>
        <w:rPr>
          <w:rFonts w:ascii="TH SarabunPSK" w:hAnsi="TH SarabunPSK" w:cs="TH SarabunPSK"/>
          <w:sz w:val="32"/>
          <w:szCs w:val="32"/>
        </w:rPr>
      </w:pPr>
    </w:p>
    <w:p w14:paraId="5FB15FCF" w14:textId="77777777" w:rsidR="003B49E2" w:rsidRPr="003B49E2" w:rsidRDefault="003B49E2" w:rsidP="003B49E2">
      <w:pPr>
        <w:pStyle w:val="NoSpacing"/>
        <w:ind w:right="95"/>
        <w:jc w:val="both"/>
        <w:rPr>
          <w:rFonts w:ascii="Times New Roman" w:hAnsi="Times New Roman" w:cs="Times New Roman"/>
          <w:b/>
          <w:bCs/>
          <w:color w:val="FF0000"/>
          <w:sz w:val="24"/>
          <w:szCs w:val="24"/>
        </w:rPr>
      </w:pPr>
      <w:r w:rsidRPr="003B49E2">
        <w:rPr>
          <w:rFonts w:ascii="Times New Roman" w:hAnsi="Times New Roman" w:cs="Times New Roman"/>
          <w:b/>
          <w:bCs/>
          <w:color w:val="FF0000"/>
          <w:sz w:val="24"/>
          <w:szCs w:val="24"/>
        </w:rPr>
        <w:t>Remarks:</w:t>
      </w:r>
    </w:p>
    <w:p w14:paraId="32B57FF0" w14:textId="07270F90" w:rsidR="003B49E2" w:rsidRPr="003B49E2" w:rsidRDefault="003B49E2" w:rsidP="003B49E2">
      <w:pPr>
        <w:pStyle w:val="NoSpacing"/>
        <w:ind w:right="95"/>
        <w:jc w:val="both"/>
        <w:rPr>
          <w:rFonts w:ascii="Times New Roman" w:hAnsi="Times New Roman" w:cs="Times New Roman"/>
          <w:color w:val="FF0000"/>
          <w:sz w:val="24"/>
          <w:szCs w:val="24"/>
        </w:rPr>
      </w:pPr>
      <w:r w:rsidRPr="003B49E2">
        <w:rPr>
          <w:rFonts w:ascii="Times New Roman" w:hAnsi="Times New Roman" w:cs="Times New Roman"/>
          <w:color w:val="FF0000"/>
          <w:sz w:val="24"/>
          <w:szCs w:val="24"/>
        </w:rPr>
        <w:t>Font: Times New Roman 12 point (1.0 space)</w:t>
      </w:r>
      <w:r w:rsidR="00AB1769">
        <w:rPr>
          <w:rFonts w:ascii="Times New Roman" w:hAnsi="Times New Roman" w:cs="Times New Roman"/>
          <w:color w:val="FF0000"/>
          <w:sz w:val="24"/>
          <w:szCs w:val="24"/>
        </w:rPr>
        <w:t>.</w:t>
      </w:r>
    </w:p>
    <w:p w14:paraId="77F9D7B3" w14:textId="0BE94CC5" w:rsidR="003B49E2" w:rsidRPr="003B49E2" w:rsidRDefault="003B49E2" w:rsidP="003B49E2">
      <w:pPr>
        <w:pStyle w:val="NoSpacing"/>
        <w:ind w:right="95"/>
        <w:jc w:val="both"/>
        <w:rPr>
          <w:rFonts w:ascii="Times New Roman" w:hAnsi="Times New Roman" w:cs="Times New Roman"/>
          <w:color w:val="FF0000"/>
          <w:sz w:val="24"/>
          <w:szCs w:val="24"/>
        </w:rPr>
      </w:pPr>
      <w:r w:rsidRPr="003B49E2">
        <w:rPr>
          <w:rFonts w:ascii="Times New Roman" w:hAnsi="Times New Roman" w:cs="Times New Roman"/>
          <w:color w:val="FF0000"/>
          <w:sz w:val="24"/>
          <w:szCs w:val="24"/>
        </w:rPr>
        <w:t xml:space="preserve">Abstract length: </w:t>
      </w:r>
      <w:r w:rsidR="00EC3D09" w:rsidRPr="00EC3D09">
        <w:rPr>
          <w:rFonts w:ascii="Times New Roman" w:hAnsi="Times New Roman" w:cs="Times New Roman"/>
          <w:color w:val="FF0000"/>
          <w:sz w:val="24"/>
          <w:szCs w:val="24"/>
        </w:rPr>
        <w:t xml:space="preserve">must not exceed </w:t>
      </w:r>
      <w:r w:rsidR="00AB1769">
        <w:rPr>
          <w:rFonts w:ascii="Times New Roman" w:hAnsi="Times New Roman" w:cs="Times New Roman"/>
          <w:color w:val="FF0000"/>
          <w:sz w:val="24"/>
          <w:szCs w:val="24"/>
        </w:rPr>
        <w:t>300</w:t>
      </w:r>
      <w:r w:rsidR="00EC3D09" w:rsidRPr="00EC3D09">
        <w:rPr>
          <w:rFonts w:ascii="Times New Roman" w:hAnsi="Times New Roman" w:cs="Times New Roman"/>
          <w:color w:val="FF0000"/>
          <w:sz w:val="24"/>
          <w:szCs w:val="24"/>
        </w:rPr>
        <w:t xml:space="preserve"> </w:t>
      </w:r>
      <w:r w:rsidR="00AB1769" w:rsidRPr="00EC3D09">
        <w:rPr>
          <w:rFonts w:ascii="Times New Roman" w:hAnsi="Times New Roman" w:cs="Times New Roman"/>
          <w:color w:val="FF0000"/>
          <w:sz w:val="24"/>
          <w:szCs w:val="24"/>
        </w:rPr>
        <w:t>words.</w:t>
      </w:r>
      <w:r w:rsidR="00EC3D09" w:rsidRPr="00EC3D09">
        <w:rPr>
          <w:rFonts w:ascii="Times New Roman" w:hAnsi="Times New Roman" w:cs="Times New Roman"/>
          <w:color w:val="FF0000"/>
          <w:sz w:val="24"/>
          <w:szCs w:val="24"/>
        </w:rPr>
        <w:t xml:space="preserve"> </w:t>
      </w:r>
    </w:p>
    <w:p w14:paraId="78D012B9" w14:textId="1032C7C8" w:rsidR="003B49E2" w:rsidRPr="003B49E2" w:rsidRDefault="003B49E2" w:rsidP="003B49E2">
      <w:pPr>
        <w:pStyle w:val="NoSpacing"/>
        <w:ind w:right="95"/>
        <w:jc w:val="both"/>
        <w:rPr>
          <w:rFonts w:ascii="Times New Roman" w:hAnsi="Times New Roman" w:cs="Times New Roman"/>
          <w:color w:val="FF0000"/>
          <w:sz w:val="24"/>
          <w:szCs w:val="24"/>
        </w:rPr>
      </w:pPr>
      <w:r w:rsidRPr="003B49E2">
        <w:rPr>
          <w:rFonts w:ascii="Times New Roman" w:hAnsi="Times New Roman" w:cs="Times New Roman"/>
          <w:color w:val="FF0000"/>
          <w:sz w:val="24"/>
          <w:szCs w:val="24"/>
        </w:rPr>
        <w:t>Article length: up to 15 pages (6,000 words)</w:t>
      </w:r>
      <w:r w:rsidR="00AB1769">
        <w:rPr>
          <w:rFonts w:ascii="Times New Roman" w:hAnsi="Times New Roman" w:cs="Times New Roman"/>
          <w:color w:val="FF0000"/>
          <w:sz w:val="24"/>
          <w:szCs w:val="24"/>
        </w:rPr>
        <w:t>.</w:t>
      </w:r>
    </w:p>
    <w:p w14:paraId="7905D1CA" w14:textId="77777777" w:rsidR="003B49E2" w:rsidRPr="003B49E2" w:rsidRDefault="003B49E2" w:rsidP="003B49E2">
      <w:pPr>
        <w:pStyle w:val="NoSpacing"/>
        <w:ind w:right="95"/>
        <w:jc w:val="both"/>
        <w:rPr>
          <w:rFonts w:ascii="Times New Roman" w:hAnsi="Times New Roman" w:cs="Times New Roman"/>
          <w:sz w:val="24"/>
          <w:szCs w:val="24"/>
        </w:rPr>
      </w:pPr>
    </w:p>
    <w:p w14:paraId="276D256E" w14:textId="77777777" w:rsidR="003B49E2" w:rsidRDefault="003B49E2" w:rsidP="00061A4E">
      <w:pPr>
        <w:rPr>
          <w:rFonts w:ascii="Times New Roman" w:hAnsi="Times New Roman" w:cstheme="minorBidi"/>
          <w:b/>
          <w:bCs/>
          <w:sz w:val="24"/>
          <w:szCs w:val="24"/>
          <w:lang w:val="en-AU"/>
        </w:rPr>
      </w:pPr>
    </w:p>
    <w:p w14:paraId="0BEDF3DE" w14:textId="77777777" w:rsidR="00BD2175" w:rsidRDefault="00BD2175" w:rsidP="00061A4E">
      <w:pPr>
        <w:rPr>
          <w:rFonts w:ascii="Times New Roman" w:hAnsi="Times New Roman" w:cstheme="minorBidi"/>
          <w:b/>
          <w:bCs/>
          <w:sz w:val="24"/>
          <w:szCs w:val="24"/>
          <w:lang w:val="en-AU"/>
        </w:rPr>
      </w:pPr>
    </w:p>
    <w:p w14:paraId="283F18BA" w14:textId="77777777" w:rsidR="00BD2175" w:rsidRPr="00EC3D09" w:rsidRDefault="00BD2175" w:rsidP="00061A4E">
      <w:pPr>
        <w:rPr>
          <w:rFonts w:ascii="Times New Roman" w:hAnsi="Times New Roman" w:cstheme="minorBidi"/>
          <w:b/>
          <w:bCs/>
          <w:sz w:val="24"/>
          <w:szCs w:val="24"/>
          <w:cs/>
          <w:lang w:val="en-AU"/>
        </w:rPr>
      </w:pPr>
    </w:p>
    <w:p w14:paraId="6EE56CA6" w14:textId="77777777" w:rsidR="003B49E2" w:rsidRDefault="003B49E2" w:rsidP="00061A4E">
      <w:pPr>
        <w:rPr>
          <w:rFonts w:ascii="Times New Roman" w:hAnsi="Times New Roman" w:cs="Times New Roman"/>
          <w:b/>
          <w:bCs/>
          <w:sz w:val="24"/>
          <w:szCs w:val="24"/>
          <w:lang w:val="en-AU"/>
        </w:rPr>
      </w:pPr>
    </w:p>
    <w:p w14:paraId="69646B53" w14:textId="77777777" w:rsidR="009A41ED" w:rsidRDefault="009A41ED" w:rsidP="00061A4E">
      <w:pPr>
        <w:rPr>
          <w:rFonts w:ascii="Times New Roman" w:hAnsi="Times New Roman" w:cs="Times New Roman"/>
          <w:b/>
          <w:bCs/>
          <w:sz w:val="24"/>
          <w:szCs w:val="24"/>
          <w:lang w:val="en-AU"/>
        </w:rPr>
      </w:pPr>
    </w:p>
    <w:p w14:paraId="544217A7" w14:textId="38FA9F0A" w:rsidR="00061A4E" w:rsidRPr="002F6CA4" w:rsidRDefault="000C47F2" w:rsidP="00061A4E">
      <w:pPr>
        <w:rPr>
          <w:rFonts w:ascii="Times New Roman" w:eastAsiaTheme="minorHAnsi" w:hAnsi="Times New Roman" w:cs="Times New Roman"/>
          <w:sz w:val="24"/>
          <w:szCs w:val="24"/>
        </w:rPr>
      </w:pPr>
      <w:r w:rsidRPr="002F6CA4">
        <w:rPr>
          <w:rFonts w:ascii="Times New Roman" w:hAnsi="Times New Roman" w:cs="Times New Roman"/>
          <w:b/>
          <w:bCs/>
          <w:sz w:val="24"/>
          <w:szCs w:val="24"/>
          <w:lang w:val="en-AU"/>
        </w:rPr>
        <w:lastRenderedPageBreak/>
        <w:t xml:space="preserve">1. </w:t>
      </w:r>
      <w:r w:rsidR="00061A4E" w:rsidRPr="002F6CA4">
        <w:rPr>
          <w:rFonts w:ascii="Times New Roman" w:hAnsi="Times New Roman" w:cs="Times New Roman"/>
          <w:b/>
          <w:bCs/>
          <w:sz w:val="24"/>
          <w:szCs w:val="24"/>
        </w:rPr>
        <w:t xml:space="preserve">Introduction </w:t>
      </w:r>
    </w:p>
    <w:p w14:paraId="55294B17" w14:textId="1FD232B0" w:rsidR="00BD2175" w:rsidRDefault="00BD2175" w:rsidP="00BD2175">
      <w:pPr>
        <w:ind w:left="720"/>
        <w:rPr>
          <w:rFonts w:ascii="Times New Roman" w:hAnsi="Times New Roman" w:cs="Times New Roman"/>
          <w:sz w:val="24"/>
          <w:szCs w:val="24"/>
        </w:rPr>
      </w:pPr>
      <w:bookmarkStart w:id="1" w:name="_Hlk110855988"/>
      <w:r w:rsidRPr="00DA6A72">
        <w:rPr>
          <w:rFonts w:ascii="Times New Roman" w:hAnsi="Times New Roman" w:cs="Times New Roman"/>
          <w:sz w:val="24"/>
          <w:szCs w:val="24"/>
        </w:rPr>
        <w:t xml:space="preserve">In today's interconnected global business world, strong English communication skills </w:t>
      </w:r>
    </w:p>
    <w:p w14:paraId="67B8B776" w14:textId="10C28030" w:rsidR="00BD2175" w:rsidRPr="00DA6A72" w:rsidRDefault="00BD2175" w:rsidP="00BD2175">
      <w:pPr>
        <w:rPr>
          <w:rFonts w:ascii="Times New Roman" w:hAnsi="Times New Roman" w:cs="Times New Roman"/>
          <w:sz w:val="24"/>
          <w:szCs w:val="24"/>
        </w:rPr>
      </w:pPr>
      <w:r w:rsidRPr="00DA6A72">
        <w:rPr>
          <w:rFonts w:ascii="Times New Roman" w:hAnsi="Times New Roman" w:cs="Times New Roman"/>
          <w:sz w:val="24"/>
          <w:szCs w:val="24"/>
        </w:rPr>
        <w:t>are vital for professionals to succeed. Effective English listening plays a particularly crucial role, enabling individuals to participate fully in meetings, understand instructions, negotiate effectively, and grasp client needs across different cultures. Yet, many Thai university students pursuing business English degrees face challenges in developing their listening skills. These challenges may stem from limited exposure to authentic English beyond the classroom, difficulties comprehending varied accents, and a lack of strategies to manage the complex demands of listening in real-time.</w:t>
      </w:r>
      <w:r>
        <w:rPr>
          <w:rFonts w:ascii="Times New Roman" w:hAnsi="Times New Roman" w:cs="Times New Roman"/>
          <w:sz w:val="24"/>
          <w:szCs w:val="24"/>
        </w:rPr>
        <w:t xml:space="preserve"> </w:t>
      </w:r>
      <w:r w:rsidRPr="00DA6A72">
        <w:rPr>
          <w:rFonts w:ascii="Times New Roman" w:hAnsi="Times New Roman" w:cs="Times New Roman"/>
          <w:sz w:val="24"/>
          <w:szCs w:val="24"/>
        </w:rPr>
        <w:t>Inquiry-Based Learning (IBL) offers a promising method to address these challenges. IBL centers the learner in the educational process, encouraging students to pose questions, investigate issues, and actively build their own knowledge. By emphasizing student ownership of learning, IBL could increase engagement, develop self-regulatory strategies, and deepen understanding within English listening instruction.</w:t>
      </w:r>
    </w:p>
    <w:p w14:paraId="59A5797B" w14:textId="77777777" w:rsidR="00BD2175" w:rsidRPr="00DA6A72" w:rsidRDefault="00BD2175" w:rsidP="00BD2175">
      <w:pPr>
        <w:ind w:firstLine="720"/>
        <w:rPr>
          <w:rFonts w:ascii="Times New Roman" w:hAnsi="Times New Roman" w:cs="Times New Roman"/>
          <w:sz w:val="24"/>
          <w:szCs w:val="24"/>
        </w:rPr>
      </w:pPr>
      <w:r w:rsidRPr="00DA6A72">
        <w:rPr>
          <w:rFonts w:ascii="Times New Roman" w:hAnsi="Times New Roman" w:cs="Times New Roman"/>
          <w:sz w:val="24"/>
          <w:szCs w:val="24"/>
        </w:rPr>
        <w:t>Although IBL holds potential benefits, there remains limited research specifically exploring its use for improving English listening skills among Thai business English students. This study seeks to bridge this gap by examining the effectiveness of an IBL-focused listening program at Phetchabun Rajabhat University. The primary goal is to investigate whether IBL can significantly improve students' listening comprehension and pinpoint which aspects of the IBL process are most responsible for this improvement.</w:t>
      </w:r>
    </w:p>
    <w:p w14:paraId="753DD508" w14:textId="77777777" w:rsidR="00DA1D9B" w:rsidRDefault="00DA1D9B" w:rsidP="00BD2175">
      <w:pPr>
        <w:rPr>
          <w:rFonts w:ascii="Times New Roman" w:hAnsi="Times New Roman" w:cs="Times New Roman"/>
          <w:b/>
          <w:bCs/>
          <w:sz w:val="24"/>
          <w:szCs w:val="24"/>
        </w:rPr>
      </w:pPr>
    </w:p>
    <w:p w14:paraId="3C323D4C" w14:textId="01B4195E" w:rsidR="00BD2175" w:rsidRPr="00DA6A72" w:rsidRDefault="00BD2175" w:rsidP="00BD2175">
      <w:pPr>
        <w:rPr>
          <w:rFonts w:ascii="Times New Roman" w:hAnsi="Times New Roman" w:cs="Times New Roman"/>
          <w:sz w:val="24"/>
          <w:szCs w:val="24"/>
        </w:rPr>
      </w:pPr>
      <w:r w:rsidRPr="00DA6A72">
        <w:rPr>
          <w:rFonts w:ascii="Times New Roman" w:hAnsi="Times New Roman" w:cs="Times New Roman"/>
          <w:b/>
          <w:bCs/>
          <w:sz w:val="24"/>
          <w:szCs w:val="24"/>
        </w:rPr>
        <w:t>Thesis Statement:</w:t>
      </w:r>
      <w:r w:rsidRPr="00DA6A72">
        <w:rPr>
          <w:rFonts w:ascii="Times New Roman" w:hAnsi="Times New Roman" w:cs="Times New Roman"/>
          <w:sz w:val="24"/>
          <w:szCs w:val="24"/>
        </w:rPr>
        <w:t xml:space="preserve"> This study proposes that implementing Inquiry-Based Learning will enhance English listening comprehension in business English students, leading to greater learner engagement and the development of self-regulatory listening strategies.</w:t>
      </w:r>
    </w:p>
    <w:bookmarkEnd w:id="1"/>
    <w:p w14:paraId="473D96DE" w14:textId="77777777" w:rsidR="009A41ED" w:rsidRDefault="009A41ED" w:rsidP="00BD2175">
      <w:pPr>
        <w:jc w:val="both"/>
        <w:rPr>
          <w:rFonts w:ascii="Times New Roman" w:hAnsi="Times New Roman" w:cs="Times New Roman"/>
          <w:color w:val="3333FF"/>
          <w:sz w:val="24"/>
          <w:szCs w:val="24"/>
        </w:rPr>
      </w:pPr>
    </w:p>
    <w:p w14:paraId="157AD241" w14:textId="26EF9D6D" w:rsidR="00BD2175" w:rsidRDefault="000C47F2" w:rsidP="00BD2175">
      <w:pPr>
        <w:jc w:val="both"/>
        <w:rPr>
          <w:rFonts w:ascii="Times New Roman" w:hAnsi="Times New Roman" w:cs="Times New Roman"/>
          <w:b/>
          <w:bCs/>
          <w:sz w:val="24"/>
          <w:szCs w:val="24"/>
        </w:rPr>
      </w:pPr>
      <w:r w:rsidRPr="002F6CA4">
        <w:rPr>
          <w:rFonts w:ascii="Times New Roman" w:hAnsi="Times New Roman" w:cs="Times New Roman"/>
          <w:b/>
          <w:bCs/>
          <w:sz w:val="24"/>
          <w:szCs w:val="24"/>
        </w:rPr>
        <w:t xml:space="preserve">2. </w:t>
      </w:r>
      <w:r w:rsidR="00C870FB">
        <w:rPr>
          <w:rFonts w:ascii="Times New Roman" w:hAnsi="Times New Roman" w:cs="Times New Roman"/>
          <w:b/>
          <w:bCs/>
          <w:sz w:val="24"/>
          <w:szCs w:val="24"/>
        </w:rPr>
        <w:t xml:space="preserve">Research </w:t>
      </w:r>
      <w:r w:rsidR="002F6CA4" w:rsidRPr="002F6CA4">
        <w:rPr>
          <w:rFonts w:ascii="Times New Roman" w:hAnsi="Times New Roman" w:cs="Times New Roman"/>
          <w:b/>
          <w:bCs/>
          <w:sz w:val="24"/>
          <w:szCs w:val="24"/>
        </w:rPr>
        <w:t xml:space="preserve">Objectives </w:t>
      </w:r>
    </w:p>
    <w:p w14:paraId="3FA5CDF9" w14:textId="7DF7F3E0" w:rsidR="002F6CA4" w:rsidRPr="00BD2175" w:rsidRDefault="00BD2175" w:rsidP="00BD2175">
      <w:pPr>
        <w:pStyle w:val="ListParagraph"/>
        <w:numPr>
          <w:ilvl w:val="1"/>
          <w:numId w:val="9"/>
        </w:numPr>
        <w:jc w:val="both"/>
        <w:rPr>
          <w:rFonts w:ascii="Times New Roman" w:hAnsi="Times New Roman" w:cs="Times New Roman"/>
          <w:color w:val="000000" w:themeColor="text1"/>
          <w:sz w:val="24"/>
          <w:szCs w:val="24"/>
        </w:rPr>
      </w:pPr>
      <w:r w:rsidRPr="00BD2175">
        <w:rPr>
          <w:rFonts w:ascii="Times New Roman" w:hAnsi="Times New Roman" w:cs="Times New Roman"/>
          <w:color w:val="000000" w:themeColor="text1"/>
          <w:sz w:val="24"/>
          <w:szCs w:val="24"/>
        </w:rPr>
        <w:t>To determine if the implementation of an Inquiry-Based Learning (IBL) listening program significantly improves the English listening comprehension of Thai Business English major students as measured by pre- and post-test assessments.</w:t>
      </w:r>
    </w:p>
    <w:p w14:paraId="31307FA7" w14:textId="7D6073AB" w:rsidR="00BD2175" w:rsidRPr="00BD2175" w:rsidRDefault="00BD2175" w:rsidP="00BD2175">
      <w:pPr>
        <w:pStyle w:val="ListParagraph"/>
        <w:numPr>
          <w:ilvl w:val="1"/>
          <w:numId w:val="9"/>
        </w:numPr>
        <w:jc w:val="both"/>
        <w:rPr>
          <w:rFonts w:ascii="Times New Roman" w:hAnsi="Times New Roman" w:cs="Times New Roman"/>
          <w:color w:val="000000" w:themeColor="text1"/>
          <w:sz w:val="24"/>
          <w:szCs w:val="24"/>
        </w:rPr>
      </w:pPr>
      <w:r w:rsidRPr="00BD2175">
        <w:rPr>
          <w:rFonts w:ascii="Times New Roman" w:hAnsi="Times New Roman" w:cs="Times New Roman"/>
          <w:color w:val="000000" w:themeColor="text1"/>
          <w:sz w:val="24"/>
          <w:szCs w:val="24"/>
        </w:rPr>
        <w:t>To explore and analyze student perceptions of their experiences within the IBL listening program, including changes in motivation, strategy use, and overall attitudes towards English listening.</w:t>
      </w:r>
    </w:p>
    <w:p w14:paraId="09E110A5" w14:textId="2A29397E" w:rsidR="00BD2175" w:rsidRPr="00BD2175" w:rsidRDefault="00BD2175" w:rsidP="00BD2175">
      <w:pPr>
        <w:pStyle w:val="ListParagraph"/>
        <w:numPr>
          <w:ilvl w:val="1"/>
          <w:numId w:val="9"/>
        </w:numPr>
        <w:jc w:val="both"/>
        <w:rPr>
          <w:rFonts w:ascii="Times New Roman" w:hAnsi="Times New Roman" w:cs="Times New Roman"/>
          <w:sz w:val="24"/>
          <w:szCs w:val="24"/>
          <w:lang w:val="en-TH"/>
        </w:rPr>
      </w:pPr>
      <w:r w:rsidRPr="00BD2175">
        <w:rPr>
          <w:rFonts w:ascii="Times New Roman" w:hAnsi="Times New Roman" w:cs="Times New Roman"/>
          <w:sz w:val="24"/>
          <w:szCs w:val="24"/>
          <w:lang w:val="en-TH"/>
        </w:rPr>
        <w:t>To identify specific elements of the IBL program that students perceive as most influential in their listening development (e.g., specific activity types, collaborative aspects).</w:t>
      </w:r>
    </w:p>
    <w:p w14:paraId="1A483A93" w14:textId="5EDB4D4A" w:rsidR="00BD2175" w:rsidRPr="00BD2175" w:rsidRDefault="00BD2175" w:rsidP="00BD2175">
      <w:pPr>
        <w:pStyle w:val="ListParagraph"/>
        <w:numPr>
          <w:ilvl w:val="1"/>
          <w:numId w:val="9"/>
        </w:numPr>
        <w:jc w:val="both"/>
        <w:rPr>
          <w:rFonts w:ascii="Times New Roman" w:hAnsi="Times New Roman" w:cs="Times New Roman"/>
          <w:sz w:val="24"/>
          <w:szCs w:val="24"/>
          <w:lang w:val="en-TH"/>
        </w:rPr>
      </w:pPr>
      <w:r w:rsidRPr="00BD2175">
        <w:rPr>
          <w:rFonts w:ascii="Times New Roman" w:hAnsi="Times New Roman" w:cs="Times New Roman"/>
          <w:sz w:val="24"/>
          <w:szCs w:val="24"/>
          <w:lang w:val="en-TH"/>
        </w:rPr>
        <w:t>To compare student-reported strategy use before and after the IBL intervention, providing insights into shifts in the learners' approaches to listening tasks.</w:t>
      </w:r>
    </w:p>
    <w:p w14:paraId="200AC2DB" w14:textId="77777777" w:rsidR="00BD2175" w:rsidRPr="00BD2175" w:rsidRDefault="00BD2175" w:rsidP="00BD2175">
      <w:pPr>
        <w:jc w:val="both"/>
        <w:rPr>
          <w:rFonts w:ascii="Times New Roman" w:hAnsi="Times New Roman" w:cs="Times New Roman"/>
          <w:sz w:val="24"/>
          <w:szCs w:val="24"/>
          <w:lang w:val="en-TH"/>
        </w:rPr>
      </w:pPr>
    </w:p>
    <w:p w14:paraId="426DB3C8" w14:textId="68EF7A38" w:rsidR="00BA6651" w:rsidRPr="00BA6651" w:rsidRDefault="00BA6651" w:rsidP="00EC7A65">
      <w:pPr>
        <w:pStyle w:val="NoSpacing"/>
        <w:ind w:right="-330"/>
        <w:rPr>
          <w:rFonts w:ascii="Times New Roman" w:hAnsi="Times New Roman"/>
          <w:color w:val="3333FF"/>
          <w:sz w:val="24"/>
          <w:szCs w:val="24"/>
          <w:lang w:val="en-AU"/>
        </w:rPr>
      </w:pPr>
      <w:r>
        <w:rPr>
          <w:rFonts w:ascii="Times New Roman" w:hAnsi="Times New Roman" w:cs="Times New Roman"/>
          <w:b/>
          <w:bCs/>
          <w:sz w:val="24"/>
          <w:szCs w:val="24"/>
        </w:rPr>
        <w:t xml:space="preserve">3. </w:t>
      </w:r>
      <w:r w:rsidR="00EC7A65" w:rsidRPr="00EC7A65">
        <w:rPr>
          <w:rFonts w:ascii="Times New Roman" w:hAnsi="Times New Roman" w:cs="Times New Roman"/>
          <w:b/>
          <w:bCs/>
          <w:sz w:val="24"/>
          <w:szCs w:val="30"/>
        </w:rPr>
        <w:t>Literature</w:t>
      </w:r>
      <w:r w:rsidR="00EC7A65" w:rsidRPr="00EC7A65">
        <w:rPr>
          <w:rFonts w:ascii="Times New Roman" w:hAnsi="Times New Roman" w:cs="Angsana New" w:hint="cs"/>
          <w:b/>
          <w:bCs/>
          <w:sz w:val="24"/>
          <w:szCs w:val="24"/>
          <w:cs/>
        </w:rPr>
        <w:t xml:space="preserve"> </w:t>
      </w:r>
      <w:r w:rsidR="00EC7A65" w:rsidRPr="00EC7A65">
        <w:rPr>
          <w:rFonts w:ascii="Times New Roman" w:hAnsi="Times New Roman" w:cs="Angsana New"/>
          <w:b/>
          <w:bCs/>
          <w:sz w:val="24"/>
          <w:szCs w:val="24"/>
        </w:rPr>
        <w:t>R</w:t>
      </w:r>
      <w:r w:rsidR="00EC7A65" w:rsidRPr="00EC7A65">
        <w:rPr>
          <w:rFonts w:ascii="Times New Roman" w:hAnsi="Times New Roman" w:cs="Times New Roman"/>
          <w:b/>
          <w:bCs/>
          <w:sz w:val="24"/>
          <w:szCs w:val="30"/>
        </w:rPr>
        <w:t>eview</w:t>
      </w:r>
      <w:r w:rsidR="00EC7A65">
        <w:rPr>
          <w:rFonts w:ascii="Times New Roman" w:hAnsi="Times New Roman" w:cs="Angsana New" w:hint="cs"/>
          <w:b/>
          <w:bCs/>
          <w:color w:val="000000" w:themeColor="text1"/>
          <w:sz w:val="24"/>
          <w:szCs w:val="24"/>
          <w:cs/>
        </w:rPr>
        <w:t xml:space="preserve"> </w:t>
      </w:r>
      <w:r>
        <w:rPr>
          <w:rFonts w:ascii="Times New Roman" w:hAnsi="Times New Roman" w:cs="Angsana New" w:hint="cs"/>
          <w:b/>
          <w:bCs/>
          <w:color w:val="000000" w:themeColor="text1"/>
          <w:sz w:val="24"/>
          <w:szCs w:val="24"/>
          <w:cs/>
        </w:rPr>
        <w:t>(</w:t>
      </w:r>
      <w:r>
        <w:rPr>
          <w:rFonts w:ascii="Times New Roman" w:hAnsi="Times New Roman" w:cs="Times New Roman"/>
          <w:color w:val="000000" w:themeColor="text1"/>
          <w:sz w:val="24"/>
          <w:szCs w:val="24"/>
        </w:rPr>
        <w:t>Times New Roman 12 point</w:t>
      </w:r>
      <w:r>
        <w:rPr>
          <w:rFonts w:ascii="Times New Roman" w:hAnsi="Times New Roman" w:cs="Times New Roman"/>
          <w:b/>
          <w:bCs/>
          <w:color w:val="000000" w:themeColor="text1"/>
          <w:sz w:val="24"/>
          <w:szCs w:val="24"/>
        </w:rPr>
        <w:t>, bold</w:t>
      </w:r>
      <w:r>
        <w:rPr>
          <w:rFonts w:ascii="Times New Roman" w:hAnsi="Times New Roman" w:cs="Angsana New" w:hint="cs"/>
          <w:b/>
          <w:bCs/>
          <w:color w:val="000000" w:themeColor="text1"/>
          <w:sz w:val="24"/>
          <w:szCs w:val="24"/>
          <w:cs/>
        </w:rPr>
        <w:t>)</w:t>
      </w:r>
    </w:p>
    <w:p w14:paraId="4FB581A4" w14:textId="1652CED4" w:rsidR="009A41ED" w:rsidRPr="009A41ED" w:rsidRDefault="009A41ED" w:rsidP="009A41ED">
      <w:pPr>
        <w:ind w:firstLine="720"/>
        <w:rPr>
          <w:rFonts w:ascii="Times New Roman" w:eastAsia="Calibri" w:hAnsi="Times New Roman" w:cs="Times New Roman"/>
          <w:b/>
          <w:bCs/>
          <w:kern w:val="2"/>
          <w:sz w:val="24"/>
          <w:szCs w:val="24"/>
          <w:lang w:val="en-TH"/>
          <w14:ligatures w14:val="standardContextual"/>
        </w:rPr>
      </w:pPr>
      <w:r>
        <w:rPr>
          <w:rFonts w:ascii="Times New Roman" w:eastAsia="Calibri" w:hAnsi="Times New Roman" w:cs="Times New Roman"/>
          <w:b/>
          <w:bCs/>
          <w:kern w:val="2"/>
          <w:sz w:val="24"/>
          <w:szCs w:val="24"/>
          <w:lang w:val="en-TH"/>
          <w14:ligatures w14:val="standardContextual"/>
        </w:rPr>
        <w:t xml:space="preserve">3.1 </w:t>
      </w:r>
      <w:r w:rsidRPr="009A41ED">
        <w:rPr>
          <w:rFonts w:ascii="Times New Roman" w:eastAsia="Calibri" w:hAnsi="Times New Roman" w:cs="Times New Roman"/>
          <w:b/>
          <w:bCs/>
          <w:kern w:val="2"/>
          <w:sz w:val="24"/>
          <w:szCs w:val="24"/>
          <w:lang w:val="en-TH"/>
          <w14:ligatures w14:val="standardContextual"/>
        </w:rPr>
        <w:t>English Listening Comprehension and Business</w:t>
      </w:r>
    </w:p>
    <w:p w14:paraId="013B4E3E" w14:textId="77777777" w:rsidR="009A41ED" w:rsidRPr="009A41ED" w:rsidRDefault="009A41ED" w:rsidP="009A41ED">
      <w:pPr>
        <w:ind w:firstLine="720"/>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Effective English listening comprehension is a crucial skill for professionals across various industries in today's interconnected global business environment. Accurate listening promotes clear communication, helps build understanding between cultures, and leads to successful negotiations and decisions. Business professionals must, therefore, be prepared for specific types of listening encounters. Needs analysis research identifies core skills like understanding presentations, actively participating in negotiations, following instructions during teleconferences, and grasping complex information in training workshops (Yeldrim, 2014; Li &amp; Zhou, 2018). These findings show that English listening programs need to focus on content relevant to real-world business communication.</w:t>
      </w:r>
    </w:p>
    <w:p w14:paraId="5B3555F2" w14:textId="577C9745" w:rsidR="009A41ED" w:rsidRPr="009A41ED" w:rsidRDefault="009A41ED" w:rsidP="009A41ED">
      <w:pPr>
        <w:ind w:firstLine="720"/>
        <w:rPr>
          <w:rFonts w:ascii="Times New Roman" w:eastAsia="Calibri" w:hAnsi="Times New Roman" w:cs="Times New Roman"/>
          <w:b/>
          <w:bCs/>
          <w:kern w:val="2"/>
          <w:sz w:val="24"/>
          <w:szCs w:val="24"/>
          <w:lang w:val="en-TH"/>
          <w14:ligatures w14:val="standardContextual"/>
        </w:rPr>
      </w:pPr>
      <w:r>
        <w:rPr>
          <w:rFonts w:ascii="Times New Roman" w:eastAsia="Calibri" w:hAnsi="Times New Roman" w:cs="Times New Roman"/>
          <w:b/>
          <w:bCs/>
          <w:kern w:val="2"/>
          <w:sz w:val="24"/>
          <w:szCs w:val="24"/>
          <w:lang w:val="en-TH"/>
          <w14:ligatures w14:val="standardContextual"/>
        </w:rPr>
        <w:lastRenderedPageBreak/>
        <w:t xml:space="preserve">3.2 </w:t>
      </w:r>
      <w:r w:rsidRPr="009A41ED">
        <w:rPr>
          <w:rFonts w:ascii="Times New Roman" w:eastAsia="Calibri" w:hAnsi="Times New Roman" w:cs="Times New Roman"/>
          <w:b/>
          <w:bCs/>
          <w:kern w:val="2"/>
          <w:sz w:val="24"/>
          <w:szCs w:val="24"/>
          <w:lang w:val="en-TH"/>
          <w14:ligatures w14:val="standardContextual"/>
        </w:rPr>
        <w:t>Global Accents &amp; Comprehension Challenges</w:t>
      </w:r>
    </w:p>
    <w:p w14:paraId="282F1250" w14:textId="77777777" w:rsidR="009A41ED" w:rsidRPr="009A41ED" w:rsidRDefault="009A41ED" w:rsidP="009A41ED">
      <w:pPr>
        <w:ind w:firstLine="720"/>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Since English is widely used in global business, it's important to be able to understand different accents and varieties of the language. Learners who speak English as a Foreign Language (EFL) often face challenges when listening because they may not be familiar with how different native speakers pronounce words, their intonation patterns, and their regional expressions. Research shows that EFL listeners might struggle with fast speech, unfamiliar vocabulary, and culturally-specific references common in business communication (Derwing &amp; Munro, 2015). Therefore, there's a clear need for strategies to help EFL learners effectively understand varied accents in English. These strategies might include exposure to different kinds of English, practice with authentic business conversations, and targeted activities focusing on the unique speech patterns of various accents (Kennedy &amp; Trofimovich, 2018).</w:t>
      </w:r>
    </w:p>
    <w:p w14:paraId="30DE4D7F" w14:textId="38B66897" w:rsidR="009A41ED" w:rsidRPr="009A41ED" w:rsidRDefault="009A41ED" w:rsidP="009A41ED">
      <w:pPr>
        <w:ind w:firstLine="720"/>
        <w:rPr>
          <w:rFonts w:ascii="Times New Roman" w:eastAsia="Calibri" w:hAnsi="Times New Roman" w:cs="Times New Roman"/>
          <w:b/>
          <w:bCs/>
          <w:kern w:val="2"/>
          <w:sz w:val="24"/>
          <w:szCs w:val="24"/>
          <w:lang w:val="en-TH"/>
          <w14:ligatures w14:val="standardContextual"/>
        </w:rPr>
      </w:pPr>
      <w:r>
        <w:rPr>
          <w:rFonts w:ascii="Times New Roman" w:eastAsia="Calibri" w:hAnsi="Times New Roman" w:cs="Times New Roman"/>
          <w:b/>
          <w:bCs/>
          <w:kern w:val="2"/>
          <w:sz w:val="24"/>
          <w:szCs w:val="24"/>
          <w:lang w:val="en-TH"/>
          <w14:ligatures w14:val="standardContextual"/>
        </w:rPr>
        <w:t xml:space="preserve">3.3 </w:t>
      </w:r>
      <w:r w:rsidRPr="009A41ED">
        <w:rPr>
          <w:rFonts w:ascii="Times New Roman" w:eastAsia="Calibri" w:hAnsi="Times New Roman" w:cs="Times New Roman"/>
          <w:b/>
          <w:bCs/>
          <w:kern w:val="2"/>
          <w:sz w:val="24"/>
          <w:szCs w:val="24"/>
          <w:lang w:val="en-TH"/>
          <w14:ligatures w14:val="standardContextual"/>
        </w:rPr>
        <w:t>IBL in Language Learning</w:t>
      </w:r>
    </w:p>
    <w:p w14:paraId="5B4FD115" w14:textId="6A67AB01" w:rsidR="009A41ED" w:rsidRPr="009A41ED" w:rsidRDefault="009A41ED" w:rsidP="009A41ED">
      <w:pPr>
        <w:ind w:firstLine="720"/>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Inquiry-Based Learning (IBL) is a pedagogical approach grounded in constructivist learning theories, where learners take an active role in constructing their understanding through questioning, investigation, and problem-solving. IBL shifts the traditional dynamic of language instruction, moving away from teacher-directed transmission of knowledge towards a student-centered exploration of language concepts. Extant research provides considerable evidence supporting the application of IBL in the development of various language skills. Case studies have demonstrated its effectiveness in improving grammar accuracy, fostering vocabulary acquisition, and enhancing general communicative proficiency in second language learners (Wu &amp; Wu, 2020; Spratt, Humphreys, &amp; Chan, 2002). Moreover, the focus on inquiry, collaboration, and reflection within the IBL methodology aligns strongly with the development of overall communicative competence.</w:t>
      </w:r>
    </w:p>
    <w:p w14:paraId="20150B91" w14:textId="5BCC33C0" w:rsidR="009A41ED" w:rsidRPr="009A41ED" w:rsidRDefault="009A41ED" w:rsidP="009A41ED">
      <w:pPr>
        <w:ind w:firstLine="720"/>
        <w:rPr>
          <w:rFonts w:ascii="Times New Roman" w:eastAsia="Calibri" w:hAnsi="Times New Roman" w:cs="Times New Roman"/>
          <w:kern w:val="2"/>
          <w:sz w:val="24"/>
          <w:szCs w:val="24"/>
          <w:lang w:val="en-TH"/>
          <w14:ligatures w14:val="standardContextual"/>
        </w:rPr>
      </w:pPr>
      <w:r>
        <w:rPr>
          <w:rFonts w:ascii="Times New Roman" w:eastAsia="Calibri" w:hAnsi="Times New Roman" w:cs="Times New Roman"/>
          <w:b/>
          <w:bCs/>
          <w:kern w:val="2"/>
          <w:sz w:val="24"/>
          <w:szCs w:val="24"/>
          <w:lang w:val="en-TH"/>
          <w14:ligatures w14:val="standardContextual"/>
        </w:rPr>
        <w:t xml:space="preserve">3.4 </w:t>
      </w:r>
      <w:r w:rsidRPr="009A41ED">
        <w:rPr>
          <w:rFonts w:ascii="Times New Roman" w:eastAsia="Calibri" w:hAnsi="Times New Roman" w:cs="Times New Roman"/>
          <w:b/>
          <w:bCs/>
          <w:kern w:val="2"/>
          <w:sz w:val="24"/>
          <w:szCs w:val="24"/>
          <w:lang w:val="en-TH"/>
          <w14:ligatures w14:val="standardContextual"/>
        </w:rPr>
        <w:t>Theoretical Underpinnings of IBL</w:t>
      </w:r>
    </w:p>
    <w:p w14:paraId="62697398" w14:textId="77777777" w:rsidR="009A41ED" w:rsidRPr="009A41ED" w:rsidRDefault="009A41ED" w:rsidP="009A41ED">
      <w:pPr>
        <w:ind w:firstLine="720"/>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The efficacy of Inquiry-Based Learning can be understood through examining its close ties to well-established psychological frameworks of self-regulation and self-determination. Within self-regulation theory, IBL promotes the development of metacognitive strategies as learners actively monitor and evaluate their language learning processes (Zimmerman, 2000). Self-determination theory underscores the intrinsic motivation fostered through choice, autonomy, and a sense of competence – vital characteristics inherent to inquiry-based environments (Ryan &amp; Deci, 2000). Thus, the unique pedagogical elements of IBL – its student-centeredness, emphasis on problem-solving, and promotion of reflective practice – offer a stimulating environment, propelling learners towards higher levels of self-regulation and increasing their motivational propensity for meaningful language learning.</w:t>
      </w:r>
    </w:p>
    <w:p w14:paraId="028477B9" w14:textId="15BF9D65" w:rsidR="009A41ED" w:rsidRPr="009A41ED" w:rsidRDefault="009A41ED" w:rsidP="009A41ED">
      <w:pPr>
        <w:ind w:firstLine="720"/>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b/>
          <w:bCs/>
          <w:kern w:val="2"/>
          <w:sz w:val="24"/>
          <w:szCs w:val="24"/>
          <w:lang w:val="en-TH"/>
          <w14:ligatures w14:val="standardContextual"/>
        </w:rPr>
        <w:t>3.5 Gap Identification &amp; Rationale for the Current Study</w:t>
      </w:r>
    </w:p>
    <w:p w14:paraId="2EF19E18" w14:textId="688A808B" w:rsidR="009A41ED" w:rsidRPr="009A41ED" w:rsidRDefault="009A41ED" w:rsidP="009A41ED">
      <w:pPr>
        <w:ind w:firstLine="720"/>
        <w:rPr>
          <w:rFonts w:ascii="Times New Roman" w:eastAsia="Calibri" w:hAnsi="Times New Roman" w:cs="Times New Roman"/>
          <w:i/>
          <w:iCs/>
          <w:kern w:val="2"/>
          <w:sz w:val="24"/>
          <w:szCs w:val="24"/>
          <w:lang w:val="en-TH"/>
          <w14:ligatures w14:val="standardContextual"/>
        </w:rPr>
      </w:pPr>
      <w:r>
        <w:rPr>
          <w:rFonts w:ascii="Times New Roman" w:eastAsia="Calibri" w:hAnsi="Times New Roman" w:cs="Times New Roman"/>
          <w:b/>
          <w:bCs/>
          <w:i/>
          <w:iCs/>
          <w:kern w:val="2"/>
          <w:sz w:val="24"/>
          <w:szCs w:val="24"/>
          <w:lang w:val="en-TH"/>
          <w14:ligatures w14:val="standardContextual"/>
        </w:rPr>
        <w:t xml:space="preserve">3.5.1 </w:t>
      </w:r>
      <w:r w:rsidRPr="009A41ED">
        <w:rPr>
          <w:rFonts w:ascii="Times New Roman" w:eastAsia="Calibri" w:hAnsi="Times New Roman" w:cs="Times New Roman"/>
          <w:b/>
          <w:bCs/>
          <w:i/>
          <w:iCs/>
          <w:kern w:val="2"/>
          <w:sz w:val="24"/>
          <w:szCs w:val="24"/>
          <w:lang w:val="en-TH"/>
          <w14:ligatures w14:val="standardContextual"/>
        </w:rPr>
        <w:t>Critical Analysis</w:t>
      </w:r>
    </w:p>
    <w:p w14:paraId="064AC6CE" w14:textId="77777777" w:rsidR="009A41ED" w:rsidRPr="009A41ED" w:rsidRDefault="009A41ED" w:rsidP="009A41ED">
      <w:pPr>
        <w:ind w:firstLine="720"/>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This literature review demonstrates the critical importance of developing strong English listening skills for success in today's business world. Additionally, it shows there's a need for practice specific to understanding a diversity of accents, tailored to EFL learners. There's strong support for using Inquiry-Based Learning (IBL) to improve language skills in general, with positive impacts on engagement, problem-solving, and self-monitoring.</w:t>
      </w:r>
    </w:p>
    <w:p w14:paraId="7DB98D45" w14:textId="31E72E0B" w:rsidR="009A41ED" w:rsidRPr="009A41ED" w:rsidRDefault="009A41ED" w:rsidP="009A41ED">
      <w:pPr>
        <w:ind w:firstLine="720"/>
        <w:rPr>
          <w:rFonts w:ascii="Times New Roman" w:eastAsia="Calibri" w:hAnsi="Times New Roman" w:cs="Times New Roman"/>
          <w:i/>
          <w:iCs/>
          <w:kern w:val="2"/>
          <w:sz w:val="24"/>
          <w:szCs w:val="24"/>
          <w:lang w:val="en-TH"/>
          <w14:ligatures w14:val="standardContextual"/>
        </w:rPr>
      </w:pPr>
      <w:r>
        <w:rPr>
          <w:rFonts w:ascii="Times New Roman" w:eastAsia="Calibri" w:hAnsi="Times New Roman" w:cs="Times New Roman"/>
          <w:b/>
          <w:bCs/>
          <w:i/>
          <w:iCs/>
          <w:kern w:val="2"/>
          <w:sz w:val="24"/>
          <w:szCs w:val="24"/>
          <w:lang w:val="en-TH"/>
          <w14:ligatures w14:val="standardContextual"/>
        </w:rPr>
        <w:t xml:space="preserve">3.5.2 </w:t>
      </w:r>
      <w:r w:rsidRPr="009A41ED">
        <w:rPr>
          <w:rFonts w:ascii="Times New Roman" w:eastAsia="Calibri" w:hAnsi="Times New Roman" w:cs="Times New Roman"/>
          <w:b/>
          <w:bCs/>
          <w:i/>
          <w:iCs/>
          <w:kern w:val="2"/>
          <w:sz w:val="24"/>
          <w:szCs w:val="24"/>
          <w:lang w:val="en-TH"/>
          <w14:ligatures w14:val="standardContextual"/>
        </w:rPr>
        <w:t>Identifying the Gaps</w:t>
      </w:r>
    </w:p>
    <w:p w14:paraId="526D985C" w14:textId="77777777" w:rsidR="009A41ED" w:rsidRPr="009A41ED" w:rsidRDefault="009A41ED" w:rsidP="009A41ED">
      <w:pPr>
        <w:ind w:firstLine="720"/>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While IBL holds promise, there's currently limited research examining how it specifically promotes English listening development. Further, it remains unclear how to best adapt IBL activities for improving English listening fluency among EFL learners, particularly those in Thai educational settings, in the context of business communication. Without this specific guidance, it's harder to design maximally effective IBL lessons within these business English contexts.</w:t>
      </w:r>
    </w:p>
    <w:p w14:paraId="517AEAD8" w14:textId="77777777" w:rsidR="009A41ED" w:rsidRPr="009A41ED" w:rsidRDefault="009A41ED" w:rsidP="009A41ED">
      <w:pPr>
        <w:rPr>
          <w:rFonts w:ascii="Times New Roman" w:eastAsia="Calibri" w:hAnsi="Times New Roman" w:cs="Times New Roman"/>
          <w:kern w:val="2"/>
          <w:sz w:val="24"/>
          <w:szCs w:val="24"/>
          <w:lang w:val="en-TH"/>
          <w14:ligatures w14:val="standardContextual"/>
        </w:rPr>
      </w:pPr>
    </w:p>
    <w:p w14:paraId="7390501C" w14:textId="77777777" w:rsidR="009A41ED" w:rsidRPr="009A41ED" w:rsidRDefault="009A41ED" w:rsidP="009A41ED">
      <w:pPr>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lastRenderedPageBreak/>
        <w:t>The focus of the current study aims to bridge this critical gap in the extant research. The primary objective is to investigate the efficacy of utilizing a meticulously designed IBL framework to enhance the English listening skills of Thai EFL learners specializing in business English. Key research questions guiding this inquiry include:</w:t>
      </w:r>
    </w:p>
    <w:p w14:paraId="025E34BE" w14:textId="77777777" w:rsidR="009A41ED" w:rsidRPr="009A41ED" w:rsidRDefault="009A41ED" w:rsidP="009A41ED">
      <w:pPr>
        <w:numPr>
          <w:ilvl w:val="0"/>
          <w:numId w:val="10"/>
        </w:numPr>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Does the implementation of an IBL listening program contribute to a significant improvement in comprehension among Thai business English students?</w:t>
      </w:r>
    </w:p>
    <w:p w14:paraId="731A0628" w14:textId="77777777" w:rsidR="009A41ED" w:rsidRPr="009A41ED" w:rsidRDefault="009A41ED" w:rsidP="009A41ED">
      <w:pPr>
        <w:numPr>
          <w:ilvl w:val="0"/>
          <w:numId w:val="10"/>
        </w:numPr>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What specific IBL pedagogical activities and processes have the most pronounced impact on developing target listening competencies?</w:t>
      </w:r>
    </w:p>
    <w:p w14:paraId="486B2205" w14:textId="77777777" w:rsidR="009A41ED" w:rsidRPr="009A41ED" w:rsidRDefault="009A41ED" w:rsidP="009A41ED">
      <w:pPr>
        <w:numPr>
          <w:ilvl w:val="0"/>
          <w:numId w:val="10"/>
        </w:numPr>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In what ways do students perceive the IBL experience, with particular focus on potential changes in motivation and self-regulatory strategy use?</w:t>
      </w:r>
    </w:p>
    <w:p w14:paraId="51050364" w14:textId="40D3C563" w:rsidR="009A41ED" w:rsidRPr="009A41ED" w:rsidRDefault="009A41ED" w:rsidP="009A41ED">
      <w:pPr>
        <w:ind w:firstLine="360"/>
        <w:rPr>
          <w:rFonts w:ascii="Times New Roman" w:eastAsia="Calibri" w:hAnsi="Times New Roman" w:cs="Times New Roman"/>
          <w:kern w:val="2"/>
          <w:sz w:val="24"/>
          <w:szCs w:val="24"/>
          <w:lang w:val="en-TH"/>
          <w14:ligatures w14:val="standardContextual"/>
        </w:rPr>
      </w:pPr>
      <w:r>
        <w:rPr>
          <w:rFonts w:ascii="Times New Roman" w:eastAsia="Calibri" w:hAnsi="Times New Roman" w:cs="Times New Roman"/>
          <w:b/>
          <w:bCs/>
          <w:kern w:val="2"/>
          <w:sz w:val="24"/>
          <w:szCs w:val="24"/>
          <w:lang w:val="en-TH"/>
          <w14:ligatures w14:val="standardContextual"/>
        </w:rPr>
        <w:t xml:space="preserve">3.6 </w:t>
      </w:r>
      <w:r w:rsidRPr="009A41ED">
        <w:rPr>
          <w:rFonts w:ascii="Times New Roman" w:eastAsia="Calibri" w:hAnsi="Times New Roman" w:cs="Times New Roman"/>
          <w:b/>
          <w:bCs/>
          <w:kern w:val="2"/>
          <w:sz w:val="24"/>
          <w:szCs w:val="24"/>
          <w:lang w:val="en-TH"/>
          <w14:ligatures w14:val="standardContextual"/>
        </w:rPr>
        <w:t>Significance of the Work</w:t>
      </w:r>
    </w:p>
    <w:p w14:paraId="485FEA8B" w14:textId="77777777" w:rsidR="009A41ED" w:rsidRPr="009A41ED" w:rsidRDefault="009A41ED" w:rsidP="009A41ED">
      <w:pPr>
        <w:ind w:firstLine="360"/>
        <w:rPr>
          <w:rFonts w:ascii="Times New Roman" w:eastAsia="Calibri" w:hAnsi="Times New Roman" w:cs="Times New Roman"/>
          <w:kern w:val="2"/>
          <w:sz w:val="24"/>
          <w:szCs w:val="24"/>
          <w:lang w:val="en-TH"/>
          <w14:ligatures w14:val="standardContextual"/>
        </w:rPr>
      </w:pPr>
      <w:r w:rsidRPr="009A41ED">
        <w:rPr>
          <w:rFonts w:ascii="Times New Roman" w:eastAsia="Calibri" w:hAnsi="Times New Roman" w:cs="Times New Roman"/>
          <w:kern w:val="2"/>
          <w:sz w:val="24"/>
          <w:szCs w:val="24"/>
          <w:lang w:val="en-TH"/>
          <w14:ligatures w14:val="standardContextual"/>
        </w:rPr>
        <w:t>This study intends to provide evidence-based insights into the optimal application of IBL methods to address the unique challenges faced by Thai EFL learners preparing for professional careers requiring adept business English listening skills. Findings have the potential to inform best practices and offer transformative instructional strategies aimed at cultivating highly proficient and motivated communicators capable of navigating the global business landscape.</w:t>
      </w:r>
    </w:p>
    <w:p w14:paraId="073A5CE5" w14:textId="77777777" w:rsidR="009A41ED" w:rsidRDefault="009A41ED" w:rsidP="00EF3315">
      <w:pPr>
        <w:pStyle w:val="NoSpacing"/>
        <w:rPr>
          <w:rFonts w:ascii="Times New Roman" w:hAnsi="Times New Roman" w:cs="Times New Roman"/>
          <w:color w:val="3333FF"/>
          <w:sz w:val="24"/>
          <w:szCs w:val="24"/>
        </w:rPr>
      </w:pPr>
    </w:p>
    <w:p w14:paraId="3EC92B4B" w14:textId="77777777" w:rsidR="00816F15" w:rsidRDefault="00BA6651" w:rsidP="00816F15">
      <w:pPr>
        <w:pStyle w:val="NoSpacing"/>
        <w:rPr>
          <w:rFonts w:ascii="Times New Roman" w:hAnsi="Times New Roman" w:cs="Times New Roman"/>
          <w:color w:val="3333FF"/>
          <w:sz w:val="24"/>
          <w:szCs w:val="24"/>
          <w:lang w:val="en-AU"/>
        </w:rPr>
      </w:pPr>
      <w:r>
        <w:rPr>
          <w:rFonts w:ascii="Times New Roman" w:hAnsi="Times New Roman" w:cs="Times New Roman"/>
          <w:b/>
          <w:bCs/>
          <w:sz w:val="24"/>
          <w:szCs w:val="24"/>
        </w:rPr>
        <w:t xml:space="preserve">4. </w:t>
      </w:r>
      <w:r w:rsidR="008F68C5">
        <w:rPr>
          <w:rFonts w:ascii="Times New Roman" w:hAnsi="Times New Roman" w:cs="Times New Roman"/>
          <w:b/>
          <w:bCs/>
          <w:sz w:val="24"/>
          <w:szCs w:val="24"/>
        </w:rPr>
        <w:t xml:space="preserve">Research Methodology </w:t>
      </w:r>
    </w:p>
    <w:p w14:paraId="3C48B910" w14:textId="039D260B" w:rsidR="009A41ED" w:rsidRPr="009A41ED" w:rsidRDefault="009A41ED" w:rsidP="00816F15">
      <w:pPr>
        <w:pStyle w:val="NoSpacing"/>
        <w:ind w:firstLine="426"/>
        <w:rPr>
          <w:rFonts w:ascii="Times New Roman" w:hAnsi="Times New Roman" w:cs="Times New Roman"/>
          <w:color w:val="3333FF"/>
          <w:sz w:val="24"/>
          <w:szCs w:val="24"/>
          <w:lang w:val="en-AU"/>
        </w:rPr>
      </w:pPr>
      <w:r>
        <w:rPr>
          <w:rFonts w:ascii="Times New Roman" w:hAnsi="Times New Roman" w:cs="Times New Roman"/>
          <w:b/>
          <w:bCs/>
          <w:sz w:val="24"/>
          <w:szCs w:val="24"/>
          <w:lang w:val="en-TH"/>
        </w:rPr>
        <w:t xml:space="preserve">4.1 </w:t>
      </w:r>
      <w:r w:rsidRPr="009A41ED">
        <w:rPr>
          <w:rFonts w:ascii="Times New Roman" w:hAnsi="Times New Roman" w:cs="Times New Roman"/>
          <w:b/>
          <w:bCs/>
          <w:sz w:val="24"/>
          <w:szCs w:val="24"/>
          <w:lang w:val="en-TH"/>
        </w:rPr>
        <w:t>Research Design</w:t>
      </w:r>
    </w:p>
    <w:p w14:paraId="4CF07F84" w14:textId="77777777" w:rsidR="009A41ED" w:rsidRPr="009A41ED" w:rsidRDefault="009A41ED" w:rsidP="00816F15">
      <w:pPr>
        <w:pStyle w:val="NoSpacing"/>
        <w:ind w:firstLine="426"/>
        <w:rPr>
          <w:rFonts w:ascii="Times New Roman" w:hAnsi="Times New Roman" w:cs="Times New Roman"/>
          <w:sz w:val="24"/>
          <w:szCs w:val="24"/>
          <w:lang w:val="en-TH"/>
        </w:rPr>
      </w:pPr>
      <w:r w:rsidRPr="009A41ED">
        <w:rPr>
          <w:rFonts w:ascii="Times New Roman" w:hAnsi="Times New Roman" w:cs="Times New Roman"/>
          <w:sz w:val="24"/>
          <w:szCs w:val="24"/>
          <w:lang w:val="en-TH"/>
        </w:rPr>
        <w:t>This study adopts a case study approach to deeply examine how Inquiry-Based Learning (IBL) influences English listening development within a business English context. Case studies offer extensive insights into complex educational processes within their real-world settings (Yin, 2018).</w:t>
      </w:r>
    </w:p>
    <w:p w14:paraId="4158C996" w14:textId="77777777" w:rsidR="009A41ED" w:rsidRPr="009A41ED" w:rsidRDefault="009A41ED" w:rsidP="009A41ED">
      <w:pPr>
        <w:pStyle w:val="NoSpacing"/>
        <w:ind w:firstLine="720"/>
        <w:rPr>
          <w:rFonts w:ascii="Times New Roman" w:hAnsi="Times New Roman" w:cs="Times New Roman"/>
          <w:i/>
          <w:iCs/>
          <w:sz w:val="24"/>
          <w:szCs w:val="24"/>
          <w:lang w:val="en-TH"/>
        </w:rPr>
      </w:pPr>
      <w:r w:rsidRPr="009A41ED">
        <w:rPr>
          <w:rFonts w:ascii="Times New Roman" w:hAnsi="Times New Roman" w:cs="Times New Roman"/>
          <w:b/>
          <w:bCs/>
          <w:i/>
          <w:iCs/>
          <w:sz w:val="24"/>
          <w:szCs w:val="24"/>
          <w:lang w:val="en-TH"/>
        </w:rPr>
        <w:t>Case Study Context</w:t>
      </w:r>
    </w:p>
    <w:p w14:paraId="063A6925" w14:textId="668BEFAE" w:rsidR="009A41ED" w:rsidRPr="009A41ED" w:rsidRDefault="009A41ED" w:rsidP="009A41ED">
      <w:pPr>
        <w:pStyle w:val="NoSpacing"/>
        <w:numPr>
          <w:ilvl w:val="0"/>
          <w:numId w:val="11"/>
        </w:numPr>
        <w:rPr>
          <w:rFonts w:ascii="Times New Roman" w:hAnsi="Times New Roman" w:cs="Times New Roman"/>
          <w:sz w:val="24"/>
          <w:szCs w:val="24"/>
          <w:lang w:val="en-TH"/>
        </w:rPr>
      </w:pPr>
      <w:r w:rsidRPr="009A41ED">
        <w:rPr>
          <w:rFonts w:ascii="Times New Roman" w:hAnsi="Times New Roman" w:cs="Times New Roman"/>
          <w:b/>
          <w:bCs/>
          <w:sz w:val="24"/>
          <w:szCs w:val="24"/>
          <w:lang w:val="en-TH"/>
        </w:rPr>
        <w:t>Setting:</w:t>
      </w:r>
      <w:r w:rsidRPr="009A41ED">
        <w:rPr>
          <w:rFonts w:ascii="Times New Roman" w:hAnsi="Times New Roman" w:cs="Times New Roman"/>
          <w:sz w:val="24"/>
          <w:szCs w:val="24"/>
          <w:lang w:val="en-TH"/>
        </w:rPr>
        <w:t xml:space="preserve"> Research took place at Phetchabun Rajabhat University in Thailand,within the Department of </w:t>
      </w:r>
      <w:r>
        <w:rPr>
          <w:rFonts w:ascii="Times New Roman" w:hAnsi="Times New Roman" w:cs="Times New Roman"/>
          <w:sz w:val="24"/>
          <w:szCs w:val="24"/>
          <w:lang w:val="en-TH"/>
        </w:rPr>
        <w:t>Humanities and Social Sciences</w:t>
      </w:r>
    </w:p>
    <w:p w14:paraId="09E06844" w14:textId="3F611C80" w:rsidR="009A41ED" w:rsidRPr="009A41ED" w:rsidRDefault="009A41ED" w:rsidP="009A41ED">
      <w:pPr>
        <w:pStyle w:val="NoSpacing"/>
        <w:numPr>
          <w:ilvl w:val="0"/>
          <w:numId w:val="11"/>
        </w:numPr>
        <w:rPr>
          <w:rFonts w:ascii="Times New Roman" w:hAnsi="Times New Roman" w:cs="Times New Roman"/>
          <w:sz w:val="24"/>
          <w:szCs w:val="24"/>
          <w:lang w:val="en-TH"/>
        </w:rPr>
      </w:pPr>
      <w:r w:rsidRPr="009A41ED">
        <w:rPr>
          <w:rFonts w:ascii="Times New Roman" w:hAnsi="Times New Roman" w:cs="Times New Roman"/>
          <w:b/>
          <w:bCs/>
          <w:sz w:val="24"/>
          <w:szCs w:val="24"/>
          <w:lang w:val="en-TH"/>
        </w:rPr>
        <w:t>Participants:</w:t>
      </w:r>
      <w:r w:rsidRPr="009A41ED">
        <w:rPr>
          <w:rFonts w:ascii="Times New Roman" w:hAnsi="Times New Roman" w:cs="Times New Roman"/>
          <w:sz w:val="24"/>
          <w:szCs w:val="24"/>
          <w:lang w:val="en-TH"/>
        </w:rPr>
        <w:t xml:space="preserve"> The sample encompassed </w:t>
      </w:r>
      <w:r>
        <w:rPr>
          <w:rFonts w:ascii="Times New Roman" w:hAnsi="Times New Roman" w:cs="Times New Roman"/>
          <w:sz w:val="24"/>
          <w:szCs w:val="24"/>
          <w:lang w:val="en-TH"/>
        </w:rPr>
        <w:t xml:space="preserve">35 </w:t>
      </w:r>
      <w:r w:rsidRPr="009A41ED">
        <w:rPr>
          <w:rFonts w:ascii="Times New Roman" w:hAnsi="Times New Roman" w:cs="Times New Roman"/>
          <w:sz w:val="24"/>
          <w:szCs w:val="24"/>
          <w:lang w:val="en-TH"/>
        </w:rPr>
        <w:t xml:space="preserve">undergraduate Business English majors during the </w:t>
      </w:r>
      <w:r>
        <w:rPr>
          <w:rFonts w:ascii="Times New Roman" w:hAnsi="Times New Roman" w:cs="Times New Roman"/>
          <w:sz w:val="24"/>
          <w:szCs w:val="24"/>
          <w:lang w:val="en-TH"/>
        </w:rPr>
        <w:t>first s</w:t>
      </w:r>
      <w:r w:rsidRPr="009A41ED">
        <w:rPr>
          <w:rFonts w:ascii="Times New Roman" w:hAnsi="Times New Roman" w:cs="Times New Roman"/>
          <w:sz w:val="24"/>
          <w:szCs w:val="24"/>
          <w:lang w:val="en-TH"/>
        </w:rPr>
        <w:t>emester, </w:t>
      </w:r>
      <w:r>
        <w:rPr>
          <w:rFonts w:ascii="Times New Roman" w:hAnsi="Times New Roman" w:cs="Times New Roman"/>
          <w:sz w:val="24"/>
          <w:szCs w:val="24"/>
          <w:lang w:val="en-TH"/>
        </w:rPr>
        <w:t>2023</w:t>
      </w:r>
      <w:r w:rsidRPr="009A41ED">
        <w:rPr>
          <w:rFonts w:ascii="Times New Roman" w:hAnsi="Times New Roman" w:cs="Times New Roman"/>
          <w:sz w:val="24"/>
          <w:szCs w:val="24"/>
          <w:lang w:val="en-TH"/>
        </w:rPr>
        <w:t xml:space="preserve"> term. Data collection will include participant age, English proficiency level, and any prior IBL experience.</w:t>
      </w:r>
    </w:p>
    <w:p w14:paraId="010CB88C" w14:textId="77777777" w:rsidR="009A41ED" w:rsidRPr="009A41ED" w:rsidRDefault="009A41ED" w:rsidP="009A41ED">
      <w:pPr>
        <w:pStyle w:val="NoSpacing"/>
        <w:ind w:firstLine="720"/>
        <w:rPr>
          <w:rFonts w:ascii="Times New Roman" w:hAnsi="Times New Roman" w:cs="Times New Roman"/>
          <w:i/>
          <w:iCs/>
          <w:sz w:val="24"/>
          <w:szCs w:val="24"/>
          <w:lang w:val="en-TH"/>
        </w:rPr>
      </w:pPr>
      <w:r w:rsidRPr="009A41ED">
        <w:rPr>
          <w:rFonts w:ascii="Times New Roman" w:hAnsi="Times New Roman" w:cs="Times New Roman"/>
          <w:b/>
          <w:bCs/>
          <w:i/>
          <w:iCs/>
          <w:sz w:val="24"/>
          <w:szCs w:val="24"/>
          <w:lang w:val="en-TH"/>
        </w:rPr>
        <w:t>Intervention Description</w:t>
      </w:r>
    </w:p>
    <w:p w14:paraId="60107D0B" w14:textId="7D51B126" w:rsidR="009A41ED" w:rsidRPr="009A41ED" w:rsidRDefault="009A41ED" w:rsidP="009A41ED">
      <w:pPr>
        <w:pStyle w:val="NoSpacing"/>
        <w:numPr>
          <w:ilvl w:val="0"/>
          <w:numId w:val="12"/>
        </w:numPr>
        <w:rPr>
          <w:rFonts w:ascii="Times New Roman" w:hAnsi="Times New Roman" w:cs="Times New Roman"/>
          <w:sz w:val="24"/>
          <w:szCs w:val="24"/>
          <w:lang w:val="en-TH"/>
        </w:rPr>
      </w:pPr>
      <w:r w:rsidRPr="009A41ED">
        <w:rPr>
          <w:rFonts w:ascii="Times New Roman" w:hAnsi="Times New Roman" w:cs="Times New Roman"/>
          <w:b/>
          <w:bCs/>
          <w:sz w:val="24"/>
          <w:szCs w:val="24"/>
          <w:lang w:val="en-TH"/>
        </w:rPr>
        <w:t>IBL Program Structure:</w:t>
      </w:r>
      <w:r w:rsidRPr="009A41ED">
        <w:rPr>
          <w:rFonts w:ascii="Times New Roman" w:hAnsi="Times New Roman" w:cs="Times New Roman"/>
          <w:sz w:val="24"/>
          <w:szCs w:val="24"/>
          <w:lang w:val="en-TH"/>
        </w:rPr>
        <w:t xml:space="preserve"> An IBL-based listening program was implemented over </w:t>
      </w:r>
      <w:r>
        <w:rPr>
          <w:rFonts w:ascii="Times New Roman" w:hAnsi="Times New Roman" w:cs="Times New Roman"/>
          <w:sz w:val="24"/>
          <w:szCs w:val="24"/>
          <w:lang w:val="en-TH"/>
        </w:rPr>
        <w:t>12</w:t>
      </w:r>
      <w:r w:rsidRPr="009A41ED">
        <w:rPr>
          <w:rFonts w:ascii="Times New Roman" w:hAnsi="Times New Roman" w:cs="Times New Roman"/>
          <w:sz w:val="24"/>
          <w:szCs w:val="24"/>
          <w:lang w:val="en-TH"/>
        </w:rPr>
        <w:t xml:space="preserve"> weeks, totaling approximately </w:t>
      </w:r>
      <w:r>
        <w:rPr>
          <w:rFonts w:ascii="Times New Roman" w:hAnsi="Times New Roman" w:cs="Times New Roman"/>
          <w:sz w:val="24"/>
          <w:szCs w:val="24"/>
          <w:lang w:val="en-TH"/>
        </w:rPr>
        <w:t>36</w:t>
      </w:r>
      <w:r w:rsidRPr="009A41ED">
        <w:rPr>
          <w:rFonts w:ascii="Times New Roman" w:hAnsi="Times New Roman" w:cs="Times New Roman"/>
          <w:sz w:val="24"/>
          <w:szCs w:val="24"/>
          <w:lang w:val="en-TH"/>
        </w:rPr>
        <w:t xml:space="preserve"> instructional hours. The </w:t>
      </w:r>
      <w:r w:rsidRPr="00325993">
        <w:rPr>
          <w:rFonts w:ascii="Times New Roman" w:hAnsi="Times New Roman" w:cs="Times New Roman"/>
          <w:sz w:val="24"/>
          <w:szCs w:val="24"/>
        </w:rPr>
        <w:t>Inquiry Cycle (5 Es)</w:t>
      </w:r>
      <w:r w:rsidRPr="009A41ED">
        <w:rPr>
          <w:rFonts w:ascii="Times New Roman" w:hAnsi="Times New Roman" w:cs="Times New Roman"/>
          <w:sz w:val="24"/>
          <w:szCs w:val="24"/>
        </w:rPr>
        <w:t xml:space="preserve"> </w:t>
      </w:r>
      <w:r w:rsidRPr="009A41ED">
        <w:rPr>
          <w:rFonts w:ascii="Times New Roman" w:hAnsi="Times New Roman" w:cs="Times New Roman"/>
          <w:sz w:val="24"/>
          <w:szCs w:val="24"/>
          <w:lang w:val="en-TH"/>
        </w:rPr>
        <w:t>framework guided lesson design.</w:t>
      </w:r>
    </w:p>
    <w:p w14:paraId="7399F2F3" w14:textId="77777777" w:rsidR="009A41ED" w:rsidRPr="009A41ED" w:rsidRDefault="009A41ED" w:rsidP="009A41ED">
      <w:pPr>
        <w:pStyle w:val="NoSpacing"/>
        <w:numPr>
          <w:ilvl w:val="0"/>
          <w:numId w:val="12"/>
        </w:numPr>
        <w:rPr>
          <w:rFonts w:ascii="Times New Roman" w:hAnsi="Times New Roman" w:cs="Times New Roman"/>
          <w:sz w:val="24"/>
          <w:szCs w:val="24"/>
          <w:lang w:val="en-TH"/>
        </w:rPr>
      </w:pPr>
      <w:r w:rsidRPr="009A41ED">
        <w:rPr>
          <w:rFonts w:ascii="Times New Roman" w:hAnsi="Times New Roman" w:cs="Times New Roman"/>
          <w:b/>
          <w:bCs/>
          <w:sz w:val="24"/>
          <w:szCs w:val="24"/>
          <w:lang w:val="en-TH"/>
        </w:rPr>
        <w:t>Materials:</w:t>
      </w:r>
      <w:r w:rsidRPr="009A41ED">
        <w:rPr>
          <w:rFonts w:ascii="Times New Roman" w:hAnsi="Times New Roman" w:cs="Times New Roman"/>
          <w:sz w:val="24"/>
          <w:szCs w:val="24"/>
          <w:lang w:val="en-TH"/>
        </w:rPr>
        <w:t> Instruction utilized authentic business recordings (e.g., presentations,negotiations, meetings), interactive listening activities, and problem-solving scenarios. Technology (e.g., online discussion platforms, multimedia) aided delivery where appropriate.</w:t>
      </w:r>
    </w:p>
    <w:p w14:paraId="740A456B" w14:textId="77777777" w:rsidR="009A41ED" w:rsidRPr="009A41ED" w:rsidRDefault="009A41ED" w:rsidP="009A41ED">
      <w:pPr>
        <w:pStyle w:val="NoSpacing"/>
        <w:numPr>
          <w:ilvl w:val="0"/>
          <w:numId w:val="12"/>
        </w:numPr>
        <w:rPr>
          <w:rFonts w:ascii="Times New Roman" w:hAnsi="Times New Roman" w:cs="Times New Roman"/>
          <w:sz w:val="24"/>
          <w:szCs w:val="24"/>
          <w:lang w:val="en-TH"/>
        </w:rPr>
      </w:pPr>
      <w:r w:rsidRPr="009A41ED">
        <w:rPr>
          <w:rFonts w:ascii="Times New Roman" w:hAnsi="Times New Roman" w:cs="Times New Roman"/>
          <w:b/>
          <w:bCs/>
          <w:sz w:val="24"/>
          <w:szCs w:val="24"/>
          <w:lang w:val="en-TH"/>
        </w:rPr>
        <w:t>Activities &amp; Alignment:</w:t>
      </w:r>
    </w:p>
    <w:p w14:paraId="4915FE5A" w14:textId="77777777" w:rsidR="009A41ED" w:rsidRPr="009A41ED" w:rsidRDefault="009A41ED" w:rsidP="009A41ED">
      <w:pPr>
        <w:pStyle w:val="NoSpacing"/>
        <w:numPr>
          <w:ilvl w:val="1"/>
          <w:numId w:val="12"/>
        </w:numPr>
        <w:rPr>
          <w:rFonts w:ascii="Times New Roman" w:hAnsi="Times New Roman" w:cs="Times New Roman"/>
          <w:sz w:val="24"/>
          <w:szCs w:val="24"/>
          <w:lang w:val="en-TH"/>
        </w:rPr>
      </w:pPr>
      <w:r w:rsidRPr="009A41ED">
        <w:rPr>
          <w:rFonts w:ascii="Times New Roman" w:hAnsi="Times New Roman" w:cs="Times New Roman"/>
          <w:sz w:val="24"/>
          <w:szCs w:val="24"/>
          <w:lang w:val="en-TH"/>
        </w:rPr>
        <w:t>Prior to listening, activities built relevant background knowledge about business topics.</w:t>
      </w:r>
    </w:p>
    <w:p w14:paraId="6BCB8C7F" w14:textId="77777777" w:rsidR="009A41ED" w:rsidRPr="009A41ED" w:rsidRDefault="009A41ED" w:rsidP="009A41ED">
      <w:pPr>
        <w:pStyle w:val="NoSpacing"/>
        <w:numPr>
          <w:ilvl w:val="1"/>
          <w:numId w:val="12"/>
        </w:numPr>
        <w:rPr>
          <w:rFonts w:ascii="Times New Roman" w:hAnsi="Times New Roman" w:cs="Times New Roman"/>
          <w:sz w:val="24"/>
          <w:szCs w:val="24"/>
          <w:lang w:val="en-TH"/>
        </w:rPr>
      </w:pPr>
      <w:r w:rsidRPr="009A41ED">
        <w:rPr>
          <w:rFonts w:ascii="Times New Roman" w:hAnsi="Times New Roman" w:cs="Times New Roman"/>
          <w:sz w:val="24"/>
          <w:szCs w:val="24"/>
          <w:lang w:val="en-TH"/>
        </w:rPr>
        <w:t>Tasks requiring identification of key points, inferences, and role-playing reflected findings of prior needs analysis studies (adapt specific references based on your research).</w:t>
      </w:r>
    </w:p>
    <w:p w14:paraId="7AD9E11D" w14:textId="77777777" w:rsidR="009A41ED" w:rsidRPr="009A41ED" w:rsidRDefault="009A41ED" w:rsidP="009A41ED">
      <w:pPr>
        <w:pStyle w:val="NoSpacing"/>
        <w:numPr>
          <w:ilvl w:val="1"/>
          <w:numId w:val="12"/>
        </w:numPr>
        <w:rPr>
          <w:rFonts w:ascii="Times New Roman" w:hAnsi="Times New Roman" w:cs="Times New Roman"/>
          <w:sz w:val="24"/>
          <w:szCs w:val="24"/>
          <w:lang w:val="en-TH"/>
        </w:rPr>
      </w:pPr>
      <w:r w:rsidRPr="009A41ED">
        <w:rPr>
          <w:rFonts w:ascii="Times New Roman" w:hAnsi="Times New Roman" w:cs="Times New Roman"/>
          <w:sz w:val="24"/>
          <w:szCs w:val="24"/>
          <w:lang w:val="en-TH"/>
        </w:rPr>
        <w:t>Inquiry-based questioning facilitated in-depth group discussions.</w:t>
      </w:r>
    </w:p>
    <w:p w14:paraId="139E14D7" w14:textId="77777777" w:rsidR="009A41ED" w:rsidRPr="009A41ED" w:rsidRDefault="009A41ED" w:rsidP="009A41ED">
      <w:pPr>
        <w:pStyle w:val="NoSpacing"/>
        <w:numPr>
          <w:ilvl w:val="1"/>
          <w:numId w:val="12"/>
        </w:numPr>
        <w:rPr>
          <w:rFonts w:ascii="Times New Roman" w:hAnsi="Times New Roman" w:cs="Times New Roman"/>
          <w:sz w:val="24"/>
          <w:szCs w:val="24"/>
          <w:lang w:val="en-TH"/>
        </w:rPr>
      </w:pPr>
      <w:r w:rsidRPr="009A41ED">
        <w:rPr>
          <w:rFonts w:ascii="Times New Roman" w:hAnsi="Times New Roman" w:cs="Times New Roman"/>
          <w:sz w:val="24"/>
          <w:szCs w:val="24"/>
          <w:lang w:val="en-TH"/>
        </w:rPr>
        <w:t>Lessons might culminate in mini-presentations or simulations focusing on targeted business listening skills.</w:t>
      </w:r>
    </w:p>
    <w:p w14:paraId="2E4AE578" w14:textId="77777777" w:rsidR="00816F15" w:rsidRDefault="00816F15" w:rsidP="00816F15">
      <w:pPr>
        <w:pStyle w:val="NoSpacing"/>
        <w:ind w:firstLine="360"/>
        <w:rPr>
          <w:rFonts w:ascii="Times New Roman" w:hAnsi="Times New Roman" w:cs="Times New Roman"/>
          <w:b/>
          <w:bCs/>
          <w:sz w:val="24"/>
          <w:szCs w:val="24"/>
          <w:lang w:val="en-TH"/>
        </w:rPr>
      </w:pPr>
    </w:p>
    <w:p w14:paraId="5BA2652D" w14:textId="77777777" w:rsidR="00816F15" w:rsidRDefault="00816F15" w:rsidP="00816F15">
      <w:pPr>
        <w:pStyle w:val="NoSpacing"/>
        <w:ind w:firstLine="360"/>
        <w:rPr>
          <w:rFonts w:ascii="Times New Roman" w:hAnsi="Times New Roman" w:cs="Times New Roman"/>
          <w:b/>
          <w:bCs/>
          <w:sz w:val="24"/>
          <w:szCs w:val="24"/>
          <w:lang w:val="en-TH"/>
        </w:rPr>
      </w:pPr>
    </w:p>
    <w:p w14:paraId="329246F6" w14:textId="2BA7B39D" w:rsidR="009A41ED" w:rsidRPr="00205D68" w:rsidRDefault="00816F15" w:rsidP="00816F15">
      <w:pPr>
        <w:pStyle w:val="NoSpacing"/>
        <w:ind w:firstLine="360"/>
        <w:rPr>
          <w:rFonts w:ascii="Times New Roman" w:hAnsi="Times New Roman" w:cs="Times New Roman"/>
          <w:sz w:val="24"/>
          <w:szCs w:val="24"/>
          <w:lang w:val="en-TH"/>
        </w:rPr>
      </w:pPr>
      <w:r w:rsidRPr="00205D68">
        <w:rPr>
          <w:rFonts w:ascii="Times New Roman" w:hAnsi="Times New Roman" w:cs="Times New Roman"/>
          <w:b/>
          <w:bCs/>
          <w:sz w:val="24"/>
          <w:szCs w:val="24"/>
          <w:lang w:val="en-TH"/>
        </w:rPr>
        <w:lastRenderedPageBreak/>
        <w:t xml:space="preserve">4.2 </w:t>
      </w:r>
      <w:r w:rsidR="009A41ED" w:rsidRPr="00205D68">
        <w:rPr>
          <w:rFonts w:ascii="Times New Roman" w:hAnsi="Times New Roman" w:cs="Times New Roman"/>
          <w:b/>
          <w:bCs/>
          <w:sz w:val="24"/>
          <w:szCs w:val="24"/>
          <w:lang w:val="en-TH"/>
        </w:rPr>
        <w:t>Data Collection</w:t>
      </w:r>
    </w:p>
    <w:p w14:paraId="2A43982B" w14:textId="72CE1AC7" w:rsidR="00205D68" w:rsidRPr="00205D68" w:rsidRDefault="00205D68" w:rsidP="002939D5">
      <w:pPr>
        <w:pStyle w:val="NoSpacing"/>
        <w:numPr>
          <w:ilvl w:val="0"/>
          <w:numId w:val="13"/>
        </w:numPr>
        <w:rPr>
          <w:rFonts w:ascii="Times New Roman" w:hAnsi="Times New Roman" w:cs="Times New Roman"/>
          <w:sz w:val="24"/>
          <w:szCs w:val="24"/>
          <w:lang w:val="en-TH"/>
        </w:rPr>
      </w:pPr>
      <w:r>
        <w:rPr>
          <w:rFonts w:ascii="Times New Roman" w:hAnsi="Times New Roman" w:cs="Times New Roman"/>
          <w:b/>
          <w:bCs/>
          <w:sz w:val="24"/>
          <w:szCs w:val="24"/>
          <w:lang w:val="en-TH"/>
        </w:rPr>
        <w:t xml:space="preserve">4.2.1 </w:t>
      </w:r>
      <w:r w:rsidR="009A41ED" w:rsidRPr="00205D68">
        <w:rPr>
          <w:rFonts w:ascii="Times New Roman" w:hAnsi="Times New Roman" w:cs="Times New Roman"/>
          <w:b/>
          <w:bCs/>
          <w:sz w:val="24"/>
          <w:szCs w:val="24"/>
          <w:lang w:val="en-TH"/>
        </w:rPr>
        <w:t>Pre- and Post-test Assessment:</w:t>
      </w:r>
      <w:r w:rsidR="009A41ED" w:rsidRPr="00205D68">
        <w:rPr>
          <w:rFonts w:ascii="Times New Roman" w:hAnsi="Times New Roman" w:cs="Times New Roman"/>
          <w:sz w:val="24"/>
          <w:szCs w:val="24"/>
          <w:lang w:val="en-TH"/>
        </w:rPr>
        <w:t> </w:t>
      </w:r>
      <w:r w:rsidRPr="00205D68">
        <w:rPr>
          <w:rFonts w:ascii="Times New Roman" w:hAnsi="Times New Roman" w:cs="Times New Roman"/>
          <w:sz w:val="24"/>
          <w:szCs w:val="24"/>
        </w:rPr>
        <w:t>Changes in listening proficiency were measured using relevant sections of the TOEIC Listening and Reading Test, focusing on its business-specific content. This validated instrument includes tasks such as identifying essential details within conversations, understanding presentations, and following instructions within workplace scenarios.</w:t>
      </w:r>
    </w:p>
    <w:p w14:paraId="46B8F7C0" w14:textId="75FF13A8" w:rsidR="009A41ED" w:rsidRPr="00205D68" w:rsidRDefault="009A41ED" w:rsidP="002939D5">
      <w:pPr>
        <w:pStyle w:val="NoSpacing"/>
        <w:numPr>
          <w:ilvl w:val="0"/>
          <w:numId w:val="13"/>
        </w:numPr>
        <w:rPr>
          <w:rFonts w:ascii="Times New Roman" w:hAnsi="Times New Roman" w:cs="Times New Roman"/>
          <w:sz w:val="24"/>
          <w:szCs w:val="24"/>
          <w:lang w:val="en-TH"/>
        </w:rPr>
      </w:pPr>
      <w:r w:rsidRPr="00205D68">
        <w:rPr>
          <w:rFonts w:ascii="Times New Roman" w:hAnsi="Times New Roman" w:cs="Times New Roman"/>
          <w:b/>
          <w:bCs/>
          <w:sz w:val="24"/>
          <w:szCs w:val="24"/>
          <w:lang w:val="en-TH"/>
        </w:rPr>
        <w:t>Student Feedback:</w:t>
      </w:r>
      <w:r w:rsidRPr="00205D68">
        <w:rPr>
          <w:rFonts w:ascii="Times New Roman" w:hAnsi="Times New Roman" w:cs="Times New Roman"/>
          <w:sz w:val="24"/>
          <w:szCs w:val="24"/>
          <w:lang w:val="en-TH"/>
        </w:rPr>
        <w:t> Qualitative data on the IBL experience was gathered through:</w:t>
      </w:r>
    </w:p>
    <w:p w14:paraId="410550C6" w14:textId="77777777" w:rsidR="009A41ED" w:rsidRPr="009A41ED" w:rsidRDefault="009A41ED" w:rsidP="009A41ED">
      <w:pPr>
        <w:pStyle w:val="NoSpacing"/>
        <w:numPr>
          <w:ilvl w:val="1"/>
          <w:numId w:val="13"/>
        </w:numPr>
        <w:rPr>
          <w:rFonts w:ascii="Times New Roman" w:hAnsi="Times New Roman" w:cs="Times New Roman"/>
          <w:sz w:val="24"/>
          <w:szCs w:val="24"/>
          <w:lang w:val="en-TH"/>
        </w:rPr>
      </w:pPr>
      <w:r w:rsidRPr="009A41ED">
        <w:rPr>
          <w:rFonts w:ascii="Times New Roman" w:hAnsi="Times New Roman" w:cs="Times New Roman"/>
          <w:sz w:val="24"/>
          <w:szCs w:val="24"/>
          <w:lang w:val="en-TH"/>
        </w:rPr>
        <w:t>Questionnaires: Addressing motivation, strategy shifts, and activity perceptions.</w:t>
      </w:r>
    </w:p>
    <w:p w14:paraId="03F89579" w14:textId="6B60DA15" w:rsidR="009A41ED" w:rsidRPr="009A41ED" w:rsidRDefault="009A41ED" w:rsidP="009A41ED">
      <w:pPr>
        <w:pStyle w:val="NoSpacing"/>
        <w:numPr>
          <w:ilvl w:val="1"/>
          <w:numId w:val="13"/>
        </w:numPr>
        <w:rPr>
          <w:rFonts w:ascii="Times New Roman" w:hAnsi="Times New Roman" w:cs="Times New Roman"/>
          <w:sz w:val="24"/>
          <w:szCs w:val="24"/>
          <w:lang w:val="en-TH"/>
        </w:rPr>
      </w:pPr>
      <w:r w:rsidRPr="009A41ED">
        <w:rPr>
          <w:rFonts w:ascii="Times New Roman" w:hAnsi="Times New Roman" w:cs="Times New Roman"/>
          <w:sz w:val="24"/>
          <w:szCs w:val="24"/>
          <w:lang w:val="en-TH"/>
        </w:rPr>
        <w:t>Interviews:  Offering deeper insights into student perspectives.</w:t>
      </w:r>
    </w:p>
    <w:p w14:paraId="728AF8C1" w14:textId="7D9B3E21" w:rsidR="009A41ED" w:rsidRPr="009A41ED" w:rsidRDefault="009A41ED" w:rsidP="009A41ED">
      <w:pPr>
        <w:pStyle w:val="NoSpacing"/>
        <w:numPr>
          <w:ilvl w:val="1"/>
          <w:numId w:val="13"/>
        </w:numPr>
        <w:rPr>
          <w:rFonts w:ascii="Times New Roman" w:hAnsi="Times New Roman" w:cs="Times New Roman"/>
          <w:sz w:val="24"/>
          <w:szCs w:val="24"/>
          <w:lang w:val="en-TH"/>
        </w:rPr>
      </w:pPr>
      <w:r w:rsidRPr="009A41ED">
        <w:rPr>
          <w:rFonts w:ascii="Times New Roman" w:hAnsi="Times New Roman" w:cs="Times New Roman"/>
          <w:sz w:val="24"/>
          <w:szCs w:val="24"/>
          <w:lang w:val="en-TH"/>
        </w:rPr>
        <w:t>Focus groups:  Investigating the collaborative aspects of IBL.</w:t>
      </w:r>
    </w:p>
    <w:p w14:paraId="5875EDFC" w14:textId="587342AE" w:rsidR="009A41ED" w:rsidRPr="009A41ED" w:rsidRDefault="009A41ED" w:rsidP="009A41ED">
      <w:pPr>
        <w:pStyle w:val="NoSpacing"/>
        <w:numPr>
          <w:ilvl w:val="0"/>
          <w:numId w:val="13"/>
        </w:numPr>
        <w:rPr>
          <w:rFonts w:ascii="Times New Roman" w:hAnsi="Times New Roman" w:cs="Times New Roman"/>
          <w:sz w:val="24"/>
          <w:szCs w:val="24"/>
          <w:lang w:val="en-TH"/>
        </w:rPr>
      </w:pPr>
      <w:r w:rsidRPr="009A41ED">
        <w:rPr>
          <w:rFonts w:ascii="Times New Roman" w:hAnsi="Times New Roman" w:cs="Times New Roman"/>
          <w:b/>
          <w:bCs/>
          <w:sz w:val="24"/>
          <w:szCs w:val="24"/>
          <w:lang w:val="en-TH"/>
        </w:rPr>
        <w:t>Teacher Observations :</w:t>
      </w:r>
      <w:r w:rsidRPr="009A41ED">
        <w:rPr>
          <w:rFonts w:ascii="Times New Roman" w:hAnsi="Times New Roman" w:cs="Times New Roman"/>
          <w:sz w:val="24"/>
          <w:szCs w:val="24"/>
          <w:lang w:val="en-TH"/>
        </w:rPr>
        <w:t> The researcher/instructor keep</w:t>
      </w:r>
      <w:r w:rsidR="00626F5B">
        <w:rPr>
          <w:rFonts w:ascii="Times New Roman" w:hAnsi="Times New Roman" w:cs="Times New Roman"/>
          <w:sz w:val="24"/>
          <w:szCs w:val="24"/>
          <w:lang w:val="en-TH"/>
        </w:rPr>
        <w:t>s</w:t>
      </w:r>
      <w:r w:rsidRPr="009A41ED">
        <w:rPr>
          <w:rFonts w:ascii="Times New Roman" w:hAnsi="Times New Roman" w:cs="Times New Roman"/>
          <w:sz w:val="24"/>
          <w:szCs w:val="24"/>
          <w:lang w:val="en-TH"/>
        </w:rPr>
        <w:t xml:space="preserve"> field notes, tracking participation, challenges overcome, and informal reflections on the IBL process.</w:t>
      </w:r>
    </w:p>
    <w:p w14:paraId="3F37CFB6" w14:textId="77777777" w:rsidR="009A41ED" w:rsidRPr="009A41ED" w:rsidRDefault="009A41ED" w:rsidP="009A41ED">
      <w:pPr>
        <w:pStyle w:val="NoSpacing"/>
        <w:rPr>
          <w:rFonts w:ascii="Times New Roman" w:hAnsi="Times New Roman" w:cs="Times New Roman"/>
          <w:sz w:val="24"/>
          <w:szCs w:val="24"/>
          <w:lang w:val="en-TH"/>
        </w:rPr>
      </w:pPr>
      <w:r w:rsidRPr="009A41ED">
        <w:rPr>
          <w:rFonts w:ascii="Times New Roman" w:hAnsi="Times New Roman" w:cs="Times New Roman"/>
          <w:b/>
          <w:bCs/>
          <w:sz w:val="24"/>
          <w:szCs w:val="24"/>
          <w:lang w:val="en-TH"/>
        </w:rPr>
        <w:t>Data Analysis Methods</w:t>
      </w:r>
    </w:p>
    <w:p w14:paraId="5B2859EC" w14:textId="77777777" w:rsidR="009A41ED" w:rsidRPr="009A41ED" w:rsidRDefault="009A41ED" w:rsidP="009A41ED">
      <w:pPr>
        <w:pStyle w:val="NoSpacing"/>
        <w:numPr>
          <w:ilvl w:val="0"/>
          <w:numId w:val="14"/>
        </w:numPr>
        <w:rPr>
          <w:rFonts w:ascii="Times New Roman" w:hAnsi="Times New Roman" w:cs="Times New Roman"/>
          <w:sz w:val="24"/>
          <w:szCs w:val="24"/>
          <w:lang w:val="en-TH"/>
        </w:rPr>
      </w:pPr>
      <w:r w:rsidRPr="009A41ED">
        <w:rPr>
          <w:rFonts w:ascii="Times New Roman" w:hAnsi="Times New Roman" w:cs="Times New Roman"/>
          <w:b/>
          <w:bCs/>
          <w:sz w:val="24"/>
          <w:szCs w:val="24"/>
          <w:lang w:val="en-TH"/>
        </w:rPr>
        <w:t>Quantitative:</w:t>
      </w:r>
      <w:r w:rsidRPr="009A41ED">
        <w:rPr>
          <w:rFonts w:ascii="Times New Roman" w:hAnsi="Times New Roman" w:cs="Times New Roman"/>
          <w:sz w:val="24"/>
          <w:szCs w:val="24"/>
          <w:lang w:val="en-TH"/>
        </w:rPr>
        <w:t> Descriptive and inferential statistics (e.g., paired t-tests) analyzed pre/post-test scores to determine the significance of the IBL intervention on listening outcomes.</w:t>
      </w:r>
    </w:p>
    <w:p w14:paraId="360EA6A6" w14:textId="18A12CF4" w:rsidR="009A41ED" w:rsidRPr="009A41ED" w:rsidRDefault="009A41ED" w:rsidP="009A41ED">
      <w:pPr>
        <w:pStyle w:val="NoSpacing"/>
        <w:numPr>
          <w:ilvl w:val="0"/>
          <w:numId w:val="14"/>
        </w:numPr>
        <w:rPr>
          <w:rFonts w:ascii="Times New Roman" w:hAnsi="Times New Roman" w:cs="Times New Roman"/>
          <w:sz w:val="24"/>
          <w:szCs w:val="24"/>
          <w:lang w:val="en-TH"/>
        </w:rPr>
      </w:pPr>
      <w:r w:rsidRPr="009A41ED">
        <w:rPr>
          <w:rFonts w:ascii="Times New Roman" w:hAnsi="Times New Roman" w:cs="Times New Roman"/>
          <w:b/>
          <w:bCs/>
          <w:sz w:val="24"/>
          <w:szCs w:val="24"/>
          <w:lang w:val="en-TH"/>
        </w:rPr>
        <w:t>Qualitative:</w:t>
      </w:r>
      <w:r w:rsidRPr="009A41ED">
        <w:rPr>
          <w:rFonts w:ascii="Times New Roman" w:hAnsi="Times New Roman" w:cs="Times New Roman"/>
          <w:sz w:val="24"/>
          <w:szCs w:val="24"/>
          <w:lang w:val="en-TH"/>
        </w:rPr>
        <w:t> Thematic analysis of student feedback (from</w:t>
      </w:r>
      <w:r w:rsidR="00626F5B">
        <w:rPr>
          <w:rFonts w:ascii="Times New Roman" w:hAnsi="Times New Roman" w:cs="Times New Roman"/>
          <w:sz w:val="24"/>
          <w:szCs w:val="24"/>
          <w:lang w:val="en-TH"/>
        </w:rPr>
        <w:t xml:space="preserve"> </w:t>
      </w:r>
      <w:r w:rsidRPr="009A41ED">
        <w:rPr>
          <w:rFonts w:ascii="Times New Roman" w:hAnsi="Times New Roman" w:cs="Times New Roman"/>
          <w:sz w:val="24"/>
          <w:szCs w:val="24"/>
          <w:lang w:val="en-TH"/>
        </w:rPr>
        <w:t>questionnaires,interviews</w:t>
      </w:r>
      <w:r w:rsidR="00626F5B">
        <w:rPr>
          <w:rFonts w:ascii="Times New Roman" w:hAnsi="Times New Roman" w:cs="Times New Roman"/>
          <w:sz w:val="24"/>
          <w:szCs w:val="24"/>
          <w:lang w:val="en-TH"/>
        </w:rPr>
        <w:t xml:space="preserve"> </w:t>
      </w:r>
      <w:r w:rsidRPr="009A41ED">
        <w:rPr>
          <w:rFonts w:ascii="Times New Roman" w:hAnsi="Times New Roman" w:cs="Times New Roman"/>
          <w:sz w:val="24"/>
          <w:szCs w:val="24"/>
          <w:lang w:val="en-TH"/>
        </w:rPr>
        <w:t xml:space="preserve">and focus groups) was used to identify common themes and perceptions. Direct quotes </w:t>
      </w:r>
      <w:r w:rsidR="00626F5B">
        <w:rPr>
          <w:rFonts w:ascii="Times New Roman" w:hAnsi="Times New Roman" w:cs="Times New Roman"/>
          <w:sz w:val="24"/>
          <w:szCs w:val="24"/>
          <w:lang w:val="en-TH"/>
        </w:rPr>
        <w:t>are</w:t>
      </w:r>
      <w:r w:rsidRPr="009A41ED">
        <w:rPr>
          <w:rFonts w:ascii="Times New Roman" w:hAnsi="Times New Roman" w:cs="Times New Roman"/>
          <w:sz w:val="24"/>
          <w:szCs w:val="24"/>
          <w:lang w:val="en-TH"/>
        </w:rPr>
        <w:t xml:space="preserve"> included within the results and discussion sections. </w:t>
      </w:r>
      <w:r w:rsidR="00626F5B">
        <w:rPr>
          <w:rFonts w:ascii="Times New Roman" w:hAnsi="Times New Roman" w:cs="Times New Roman"/>
          <w:sz w:val="24"/>
          <w:szCs w:val="24"/>
          <w:lang w:val="en-TH"/>
        </w:rPr>
        <w:t>T</w:t>
      </w:r>
      <w:r w:rsidRPr="009A41ED">
        <w:rPr>
          <w:rFonts w:ascii="Times New Roman" w:hAnsi="Times New Roman" w:cs="Times New Roman"/>
          <w:sz w:val="24"/>
          <w:szCs w:val="24"/>
          <w:lang w:val="en-TH"/>
        </w:rPr>
        <w:t>eacher observations are incorporated, they will be subjected to qualitative analysis.</w:t>
      </w:r>
    </w:p>
    <w:p w14:paraId="74CE884A" w14:textId="77777777" w:rsidR="00626F5B" w:rsidRDefault="00626F5B" w:rsidP="00EF3315">
      <w:pPr>
        <w:pStyle w:val="NoSpacing"/>
        <w:rPr>
          <w:rFonts w:ascii="Times New Roman" w:hAnsi="Times New Roman" w:cs="Times New Roman"/>
          <w:color w:val="3333FF"/>
          <w:sz w:val="24"/>
          <w:szCs w:val="24"/>
        </w:rPr>
      </w:pPr>
    </w:p>
    <w:p w14:paraId="4C28C457" w14:textId="61B67CAE" w:rsidR="00816F15" w:rsidRPr="00626F5B" w:rsidRDefault="00B80560" w:rsidP="00626F5B">
      <w:pPr>
        <w:pStyle w:val="NoSpacing"/>
        <w:rPr>
          <w:rFonts w:ascii="Times New Roman" w:hAnsi="Times New Roman" w:cs="Times New Roman"/>
          <w:color w:val="3333FF"/>
          <w:sz w:val="24"/>
          <w:szCs w:val="24"/>
          <w:lang w:val="en-AU"/>
        </w:rPr>
      </w:pPr>
      <w:r>
        <w:rPr>
          <w:rFonts w:ascii="Times New Roman" w:hAnsi="Times New Roman" w:cs="Times New Roman"/>
          <w:b/>
          <w:bCs/>
          <w:sz w:val="24"/>
          <w:szCs w:val="24"/>
        </w:rPr>
        <w:t>5</w:t>
      </w:r>
      <w:r w:rsidR="00BA6651">
        <w:rPr>
          <w:rFonts w:ascii="Times New Roman" w:hAnsi="Times New Roman" w:cs="Times New Roman"/>
          <w:b/>
          <w:bCs/>
          <w:sz w:val="24"/>
          <w:szCs w:val="24"/>
        </w:rPr>
        <w:t xml:space="preserve">. </w:t>
      </w:r>
      <w:r w:rsidR="00EF3315">
        <w:rPr>
          <w:rFonts w:ascii="Times New Roman" w:hAnsi="Times New Roman" w:cs="Times New Roman"/>
          <w:b/>
          <w:bCs/>
          <w:sz w:val="24"/>
          <w:szCs w:val="24"/>
        </w:rPr>
        <w:t xml:space="preserve">Results </w:t>
      </w:r>
    </w:p>
    <w:p w14:paraId="53012142" w14:textId="77777777" w:rsidR="00816F15" w:rsidRPr="00626F5B" w:rsidRDefault="00816F15" w:rsidP="00816F15">
      <w:pPr>
        <w:tabs>
          <w:tab w:val="left" w:pos="864"/>
          <w:tab w:val="left" w:pos="1152"/>
        </w:tabs>
        <w:spacing w:before="60" w:after="60" w:line="264" w:lineRule="auto"/>
        <w:contextualSpacing/>
        <w:rPr>
          <w:rFonts w:ascii="Times New Roman" w:hAnsi="Times New Roman" w:cs="Times New Roman"/>
          <w:i/>
          <w:iCs/>
          <w:sz w:val="24"/>
          <w:szCs w:val="24"/>
          <w:lang w:val="en-TH"/>
        </w:rPr>
      </w:pPr>
      <w:r w:rsidRPr="00626F5B">
        <w:rPr>
          <w:rFonts w:ascii="Times New Roman" w:hAnsi="Times New Roman" w:cs="Times New Roman"/>
          <w:b/>
          <w:bCs/>
          <w:i/>
          <w:iCs/>
          <w:sz w:val="24"/>
          <w:szCs w:val="24"/>
          <w:lang w:val="en-TH"/>
        </w:rPr>
        <w:t>Quantitative Findings</w:t>
      </w:r>
    </w:p>
    <w:p w14:paraId="6D65D124" w14:textId="1344A6D9" w:rsidR="00816F15" w:rsidRPr="00816F15" w:rsidRDefault="00626F5B" w:rsidP="00626F5B">
      <w:pPr>
        <w:tabs>
          <w:tab w:val="left" w:pos="864"/>
          <w:tab w:val="left" w:pos="1152"/>
        </w:tabs>
        <w:spacing w:before="60" w:after="60" w:line="264" w:lineRule="auto"/>
        <w:contextualSpacing/>
        <w:rPr>
          <w:rFonts w:ascii="Times New Roman" w:hAnsi="Times New Roman" w:cs="Times New Roman"/>
          <w:sz w:val="24"/>
          <w:szCs w:val="24"/>
          <w:lang w:val="en-TH"/>
        </w:rPr>
      </w:pPr>
      <w:r>
        <w:rPr>
          <w:rFonts w:ascii="Times New Roman" w:hAnsi="Times New Roman" w:cs="Times New Roman"/>
          <w:b/>
          <w:bCs/>
          <w:sz w:val="24"/>
          <w:szCs w:val="24"/>
          <w:lang w:val="en-TH"/>
        </w:rPr>
        <w:tab/>
      </w:r>
      <w:r w:rsidR="00816F15" w:rsidRPr="00816F15">
        <w:rPr>
          <w:rFonts w:ascii="Times New Roman" w:hAnsi="Times New Roman" w:cs="Times New Roman"/>
          <w:b/>
          <w:bCs/>
          <w:sz w:val="24"/>
          <w:szCs w:val="24"/>
          <w:lang w:val="en-TH"/>
        </w:rPr>
        <w:t>Pre- and Post-Test Comparisons:</w:t>
      </w:r>
      <w:r w:rsidR="00816F15" w:rsidRPr="00816F15">
        <w:rPr>
          <w:rFonts w:ascii="Times New Roman" w:hAnsi="Times New Roman" w:cs="Times New Roman"/>
          <w:sz w:val="24"/>
          <w:szCs w:val="24"/>
          <w:lang w:val="en-TH"/>
        </w:rPr>
        <w:t> Analysis revealed a statistically significant difference between pre-intervention and post-intervention English listening proficiency scores (t (34) = 6.34, p &lt; .001, Cohen's d = 1.02). The average score on the pre-test was 62%, increasing to 81% on the post-test, indicating a large effect of the IBL intervention.</w:t>
      </w:r>
    </w:p>
    <w:p w14:paraId="76154F0E"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p>
    <w:p w14:paraId="2A86CB64"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b/>
          <w:bCs/>
          <w:sz w:val="24"/>
          <w:szCs w:val="24"/>
          <w:lang w:val="en-TH"/>
        </w:rPr>
      </w:pPr>
      <w:r w:rsidRPr="00816F15">
        <w:rPr>
          <w:rFonts w:ascii="Times New Roman" w:hAnsi="Times New Roman" w:cs="Times New Roman"/>
          <w:b/>
          <w:bCs/>
          <w:sz w:val="24"/>
          <w:szCs w:val="24"/>
          <w:lang w:val="en-TH"/>
        </w:rPr>
        <w:t>Table 1: Pre- and Post-Test Score Summary</w:t>
      </w:r>
    </w:p>
    <w:tbl>
      <w:tblPr>
        <w:tblStyle w:val="TableGrid"/>
        <w:tblW w:w="0" w:type="auto"/>
        <w:tblLook w:val="04A0" w:firstRow="1" w:lastRow="0" w:firstColumn="1" w:lastColumn="0" w:noHBand="0" w:noVBand="1"/>
      </w:tblPr>
      <w:tblGrid>
        <w:gridCol w:w="1516"/>
        <w:gridCol w:w="1501"/>
        <w:gridCol w:w="1501"/>
        <w:gridCol w:w="1492"/>
        <w:gridCol w:w="1493"/>
        <w:gridCol w:w="1513"/>
      </w:tblGrid>
      <w:tr w:rsidR="00816F15" w:rsidRPr="00816F15" w14:paraId="68AEBAC1" w14:textId="77777777" w:rsidTr="0073645E">
        <w:tc>
          <w:tcPr>
            <w:tcW w:w="1558" w:type="dxa"/>
            <w:vAlign w:val="bottom"/>
          </w:tcPr>
          <w:p w14:paraId="1035862F"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Measure</w:t>
            </w:r>
          </w:p>
        </w:tc>
        <w:tc>
          <w:tcPr>
            <w:tcW w:w="1558" w:type="dxa"/>
            <w:vAlign w:val="bottom"/>
          </w:tcPr>
          <w:p w14:paraId="70697E28"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Pre-Test (Mean ± SD)</w:t>
            </w:r>
          </w:p>
        </w:tc>
        <w:tc>
          <w:tcPr>
            <w:tcW w:w="1558" w:type="dxa"/>
            <w:vAlign w:val="bottom"/>
          </w:tcPr>
          <w:p w14:paraId="1A19B081"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Post-Test (Mean ± SD)</w:t>
            </w:r>
          </w:p>
        </w:tc>
        <w:tc>
          <w:tcPr>
            <w:tcW w:w="1558" w:type="dxa"/>
            <w:vAlign w:val="bottom"/>
          </w:tcPr>
          <w:p w14:paraId="669514F6"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t-value</w:t>
            </w:r>
          </w:p>
        </w:tc>
        <w:tc>
          <w:tcPr>
            <w:tcW w:w="1559" w:type="dxa"/>
            <w:vAlign w:val="bottom"/>
          </w:tcPr>
          <w:p w14:paraId="005201E1"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p-value</w:t>
            </w:r>
          </w:p>
        </w:tc>
        <w:tc>
          <w:tcPr>
            <w:tcW w:w="1559" w:type="dxa"/>
            <w:vAlign w:val="bottom"/>
          </w:tcPr>
          <w:p w14:paraId="651EC66A"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Cohen's d</w:t>
            </w:r>
          </w:p>
        </w:tc>
      </w:tr>
      <w:tr w:rsidR="00816F15" w:rsidRPr="00816F15" w14:paraId="4A4EA986" w14:textId="77777777" w:rsidTr="0073645E">
        <w:tc>
          <w:tcPr>
            <w:tcW w:w="1558" w:type="dxa"/>
            <w:vAlign w:val="bottom"/>
          </w:tcPr>
          <w:p w14:paraId="123F7C12"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Overall Score</w:t>
            </w:r>
          </w:p>
        </w:tc>
        <w:tc>
          <w:tcPr>
            <w:tcW w:w="1558" w:type="dxa"/>
            <w:vAlign w:val="bottom"/>
          </w:tcPr>
          <w:p w14:paraId="28877EFB"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62% ± 8.42</w:t>
            </w:r>
          </w:p>
        </w:tc>
        <w:tc>
          <w:tcPr>
            <w:tcW w:w="1558" w:type="dxa"/>
            <w:vAlign w:val="bottom"/>
          </w:tcPr>
          <w:p w14:paraId="711F1EC0"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81% ± 7.05</w:t>
            </w:r>
          </w:p>
        </w:tc>
        <w:tc>
          <w:tcPr>
            <w:tcW w:w="1558" w:type="dxa"/>
            <w:vAlign w:val="bottom"/>
          </w:tcPr>
          <w:p w14:paraId="51EB9519"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6.34</w:t>
            </w:r>
          </w:p>
        </w:tc>
        <w:tc>
          <w:tcPr>
            <w:tcW w:w="1559" w:type="dxa"/>
            <w:vAlign w:val="bottom"/>
          </w:tcPr>
          <w:p w14:paraId="55C3C8C1"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&lt; .001</w:t>
            </w:r>
          </w:p>
        </w:tc>
        <w:tc>
          <w:tcPr>
            <w:tcW w:w="1559" w:type="dxa"/>
            <w:vAlign w:val="bottom"/>
          </w:tcPr>
          <w:p w14:paraId="52F98ACD"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1.02</w:t>
            </w:r>
          </w:p>
        </w:tc>
      </w:tr>
    </w:tbl>
    <w:p w14:paraId="58D39F6E" w14:textId="5B6E900D" w:rsidR="00816F15" w:rsidRP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sz w:val="24"/>
          <w:szCs w:val="24"/>
          <w:lang w:val="en-TH"/>
        </w:rPr>
        <w:t>Table 1 summarizes the statistically significant improvement in listening comprehension scores following the Inquiry-Based Learning (IBL) intervention. The mean pre-test score of 62% increased to 81% on the post-test. The large effect size (Cohen's d = 1.02) indicates that the improvement was not only statistically significant but also highly impactful for learners.</w:t>
      </w:r>
    </w:p>
    <w:p w14:paraId="2B62D69D" w14:textId="77777777" w:rsidR="00626F5B" w:rsidRDefault="00626F5B" w:rsidP="00626F5B">
      <w:pPr>
        <w:tabs>
          <w:tab w:val="left" w:pos="864"/>
          <w:tab w:val="left" w:pos="1152"/>
        </w:tabs>
        <w:spacing w:before="60" w:after="60" w:line="264" w:lineRule="auto"/>
        <w:contextualSpacing/>
        <w:rPr>
          <w:rFonts w:ascii="Times New Roman" w:hAnsi="Times New Roman" w:cs="Times New Roman"/>
          <w:b/>
          <w:bCs/>
          <w:sz w:val="24"/>
          <w:szCs w:val="24"/>
          <w:lang w:val="en-TH"/>
        </w:rPr>
      </w:pPr>
    </w:p>
    <w:p w14:paraId="6376FC55" w14:textId="09D02193" w:rsidR="00626F5B" w:rsidRPr="00816F15" w:rsidRDefault="00626F5B" w:rsidP="00626F5B">
      <w:pPr>
        <w:tabs>
          <w:tab w:val="left" w:pos="864"/>
          <w:tab w:val="left" w:pos="1152"/>
        </w:tabs>
        <w:spacing w:before="60" w:after="60" w:line="264" w:lineRule="auto"/>
        <w:contextualSpacing/>
        <w:rPr>
          <w:rFonts w:ascii="Times New Roman" w:hAnsi="Times New Roman" w:cs="Times New Roman"/>
          <w:sz w:val="24"/>
          <w:szCs w:val="24"/>
          <w:lang w:val="en-TH"/>
        </w:rPr>
      </w:pPr>
      <w:r>
        <w:rPr>
          <w:rFonts w:ascii="Times New Roman" w:hAnsi="Times New Roman" w:cs="Times New Roman"/>
          <w:b/>
          <w:bCs/>
          <w:sz w:val="24"/>
          <w:szCs w:val="24"/>
          <w:lang w:val="en-TH"/>
        </w:rPr>
        <w:tab/>
      </w:r>
      <w:r w:rsidRPr="00816F15">
        <w:rPr>
          <w:rFonts w:ascii="Times New Roman" w:hAnsi="Times New Roman" w:cs="Times New Roman"/>
          <w:b/>
          <w:bCs/>
          <w:sz w:val="24"/>
          <w:szCs w:val="24"/>
          <w:lang w:val="en-TH"/>
        </w:rPr>
        <w:t>Sub-skill Analysis:</w:t>
      </w:r>
      <w:r w:rsidRPr="00816F15">
        <w:rPr>
          <w:rFonts w:ascii="Times New Roman" w:hAnsi="Times New Roman" w:cs="Times New Roman"/>
          <w:sz w:val="24"/>
          <w:szCs w:val="24"/>
          <w:lang w:val="en-TH"/>
        </w:rPr>
        <w:t xml:space="preserve"> Students demonstrated the most marked improvement in tasks </w:t>
      </w:r>
    </w:p>
    <w:p w14:paraId="66BB3380" w14:textId="77777777" w:rsidR="00626F5B" w:rsidRPr="00816F15" w:rsidRDefault="00626F5B" w:rsidP="00626F5B">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sz w:val="24"/>
          <w:szCs w:val="24"/>
          <w:lang w:val="en-TH"/>
        </w:rPr>
        <w:t>involving the identification of key figures and data relevant to business transactions. This aligns with the study's emphasis on decoding detailed information crucial to commercial scenarios.</w:t>
      </w:r>
    </w:p>
    <w:p w14:paraId="499823F7" w14:textId="77777777" w:rsid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p>
    <w:p w14:paraId="1C0F0ED1" w14:textId="77777777" w:rsidR="00626F5B" w:rsidRDefault="00626F5B" w:rsidP="00816F15">
      <w:pPr>
        <w:tabs>
          <w:tab w:val="left" w:pos="864"/>
          <w:tab w:val="left" w:pos="1152"/>
        </w:tabs>
        <w:spacing w:before="60" w:after="60" w:line="264" w:lineRule="auto"/>
        <w:contextualSpacing/>
        <w:rPr>
          <w:rFonts w:ascii="Times New Roman" w:hAnsi="Times New Roman" w:cs="Times New Roman"/>
          <w:sz w:val="24"/>
          <w:szCs w:val="24"/>
          <w:lang w:val="en-TH"/>
        </w:rPr>
      </w:pPr>
    </w:p>
    <w:p w14:paraId="7D708065" w14:textId="77777777" w:rsidR="00FC220A" w:rsidRDefault="00FC220A" w:rsidP="00816F15">
      <w:pPr>
        <w:tabs>
          <w:tab w:val="left" w:pos="864"/>
          <w:tab w:val="left" w:pos="1152"/>
        </w:tabs>
        <w:spacing w:before="60" w:after="60" w:line="264" w:lineRule="auto"/>
        <w:contextualSpacing/>
        <w:rPr>
          <w:rFonts w:ascii="Times New Roman" w:hAnsi="Times New Roman" w:cs="Times New Roman" w:hint="cs"/>
          <w:sz w:val="24"/>
          <w:szCs w:val="24"/>
          <w:lang w:val="en-TH"/>
        </w:rPr>
      </w:pPr>
    </w:p>
    <w:p w14:paraId="1A47ECDC" w14:textId="77777777" w:rsidR="00626F5B" w:rsidRPr="00816F15" w:rsidRDefault="00626F5B" w:rsidP="00816F15">
      <w:pPr>
        <w:tabs>
          <w:tab w:val="left" w:pos="864"/>
          <w:tab w:val="left" w:pos="1152"/>
        </w:tabs>
        <w:spacing w:before="60" w:after="60" w:line="264" w:lineRule="auto"/>
        <w:contextualSpacing/>
        <w:rPr>
          <w:rFonts w:ascii="Times New Roman" w:hAnsi="Times New Roman" w:cs="Times New Roman"/>
          <w:sz w:val="24"/>
          <w:szCs w:val="24"/>
          <w:lang w:val="en-TH"/>
        </w:rPr>
      </w:pPr>
    </w:p>
    <w:p w14:paraId="6CA88EDF"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b/>
          <w:bCs/>
          <w:sz w:val="24"/>
          <w:szCs w:val="24"/>
          <w:lang w:val="en-TH"/>
        </w:rPr>
        <w:lastRenderedPageBreak/>
        <w:t>Table 2: Sub-Skill Improvement</w:t>
      </w:r>
    </w:p>
    <w:tbl>
      <w:tblPr>
        <w:tblStyle w:val="TableGrid"/>
        <w:tblW w:w="9432" w:type="dxa"/>
        <w:tblLook w:val="04A0" w:firstRow="1" w:lastRow="0" w:firstColumn="1" w:lastColumn="0" w:noHBand="0" w:noVBand="1"/>
      </w:tblPr>
      <w:tblGrid>
        <w:gridCol w:w="3544"/>
        <w:gridCol w:w="2268"/>
        <w:gridCol w:w="2268"/>
        <w:gridCol w:w="1352"/>
      </w:tblGrid>
      <w:tr w:rsidR="00816F15" w:rsidRPr="00816F15" w14:paraId="5168DB5A" w14:textId="77777777" w:rsidTr="0073645E">
        <w:trPr>
          <w:trHeight w:val="297"/>
        </w:trPr>
        <w:tc>
          <w:tcPr>
            <w:tcW w:w="3544" w:type="dxa"/>
            <w:vAlign w:val="bottom"/>
          </w:tcPr>
          <w:p w14:paraId="197E008B"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Listening Sub-Skill</w:t>
            </w:r>
          </w:p>
        </w:tc>
        <w:tc>
          <w:tcPr>
            <w:tcW w:w="2268" w:type="dxa"/>
            <w:vAlign w:val="bottom"/>
          </w:tcPr>
          <w:p w14:paraId="11E78DD2"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Pre-Test (Mean ± SD)</w:t>
            </w:r>
          </w:p>
        </w:tc>
        <w:tc>
          <w:tcPr>
            <w:tcW w:w="2268" w:type="dxa"/>
            <w:vAlign w:val="bottom"/>
          </w:tcPr>
          <w:p w14:paraId="7B38630A"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Post-Test (Mean ± SD)</w:t>
            </w:r>
          </w:p>
        </w:tc>
        <w:tc>
          <w:tcPr>
            <w:tcW w:w="1352" w:type="dxa"/>
            <w:vAlign w:val="bottom"/>
          </w:tcPr>
          <w:p w14:paraId="3D3C67DA"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 Change</w:t>
            </w:r>
          </w:p>
        </w:tc>
      </w:tr>
      <w:tr w:rsidR="00816F15" w:rsidRPr="00816F15" w14:paraId="2CA6A729" w14:textId="77777777" w:rsidTr="0073645E">
        <w:trPr>
          <w:trHeight w:val="283"/>
        </w:trPr>
        <w:tc>
          <w:tcPr>
            <w:tcW w:w="3544" w:type="dxa"/>
            <w:vAlign w:val="bottom"/>
          </w:tcPr>
          <w:p w14:paraId="3EB3FEA3"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Identifying Main Ideas</w:t>
            </w:r>
          </w:p>
        </w:tc>
        <w:tc>
          <w:tcPr>
            <w:tcW w:w="2268" w:type="dxa"/>
            <w:vAlign w:val="bottom"/>
          </w:tcPr>
          <w:p w14:paraId="1A3C7F1F"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65% ± 10.22</w:t>
            </w:r>
          </w:p>
        </w:tc>
        <w:tc>
          <w:tcPr>
            <w:tcW w:w="2268" w:type="dxa"/>
            <w:vAlign w:val="bottom"/>
          </w:tcPr>
          <w:p w14:paraId="1DE57BD1"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79% ± 8.51</w:t>
            </w:r>
          </w:p>
        </w:tc>
        <w:tc>
          <w:tcPr>
            <w:tcW w:w="1352" w:type="dxa"/>
            <w:vAlign w:val="bottom"/>
          </w:tcPr>
          <w:p w14:paraId="07CBB335"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+14%</w:t>
            </w:r>
          </w:p>
        </w:tc>
      </w:tr>
      <w:tr w:rsidR="00816F15" w:rsidRPr="00816F15" w14:paraId="0D8533C8" w14:textId="77777777" w:rsidTr="0073645E">
        <w:trPr>
          <w:trHeight w:val="265"/>
        </w:trPr>
        <w:tc>
          <w:tcPr>
            <w:tcW w:w="3544" w:type="dxa"/>
            <w:vAlign w:val="bottom"/>
          </w:tcPr>
          <w:p w14:paraId="10679E7F"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Understanding Details (Figures, Data)</w:t>
            </w:r>
          </w:p>
        </w:tc>
        <w:tc>
          <w:tcPr>
            <w:tcW w:w="2268" w:type="dxa"/>
            <w:vAlign w:val="bottom"/>
          </w:tcPr>
          <w:p w14:paraId="7238365D"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58% ± 9.10</w:t>
            </w:r>
          </w:p>
        </w:tc>
        <w:tc>
          <w:tcPr>
            <w:tcW w:w="2268" w:type="dxa"/>
            <w:vAlign w:val="bottom"/>
          </w:tcPr>
          <w:p w14:paraId="718A91E2"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84% ± 6.26</w:t>
            </w:r>
          </w:p>
        </w:tc>
        <w:tc>
          <w:tcPr>
            <w:tcW w:w="1352" w:type="dxa"/>
            <w:vAlign w:val="bottom"/>
          </w:tcPr>
          <w:p w14:paraId="6C0B6DEE"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+26%</w:t>
            </w:r>
          </w:p>
        </w:tc>
      </w:tr>
      <w:tr w:rsidR="00816F15" w:rsidRPr="00816F15" w14:paraId="78E9E096" w14:textId="77777777" w:rsidTr="0073645E">
        <w:trPr>
          <w:trHeight w:val="265"/>
        </w:trPr>
        <w:tc>
          <w:tcPr>
            <w:tcW w:w="3544" w:type="dxa"/>
            <w:vAlign w:val="bottom"/>
          </w:tcPr>
          <w:p w14:paraId="4A203DEC"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Making Inferences based on Tone and Context</w:t>
            </w:r>
          </w:p>
        </w:tc>
        <w:tc>
          <w:tcPr>
            <w:tcW w:w="2268" w:type="dxa"/>
            <w:vAlign w:val="bottom"/>
          </w:tcPr>
          <w:p w14:paraId="51F45E66"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60% ± 9.55</w:t>
            </w:r>
          </w:p>
        </w:tc>
        <w:tc>
          <w:tcPr>
            <w:tcW w:w="2268" w:type="dxa"/>
            <w:vAlign w:val="bottom"/>
          </w:tcPr>
          <w:p w14:paraId="26D65CD4"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77% ± 7.99</w:t>
            </w:r>
          </w:p>
        </w:tc>
        <w:tc>
          <w:tcPr>
            <w:tcW w:w="1352" w:type="dxa"/>
            <w:vAlign w:val="bottom"/>
          </w:tcPr>
          <w:p w14:paraId="08B3E877"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kern w:val="0"/>
                <w:sz w:val="24"/>
                <w:szCs w:val="24"/>
                <w14:ligatures w14:val="none"/>
              </w:rPr>
            </w:pPr>
            <w:r w:rsidRPr="00816F15">
              <w:rPr>
                <w:rFonts w:ascii="Times New Roman" w:hAnsi="Times New Roman" w:cs="Times New Roman"/>
                <w:kern w:val="0"/>
                <w:sz w:val="24"/>
                <w:szCs w:val="24"/>
                <w14:ligatures w14:val="none"/>
              </w:rPr>
              <w:t>+17%</w:t>
            </w:r>
          </w:p>
        </w:tc>
      </w:tr>
    </w:tbl>
    <w:p w14:paraId="76D9BCCE" w14:textId="5FFA8B11" w:rsidR="00816F15" w:rsidRP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sz w:val="24"/>
          <w:szCs w:val="24"/>
          <w:lang w:val="en-TH"/>
        </w:rPr>
        <w:t>Table 2 illustrates differential gains in specific listening sub-skills after the IBL program. Students demonstrated marked improvement in all areas. Particularly significant was their 26% increase in accurately identifying specific figures and data pertinent to business transactions. This corresponds with the program's focus on developing the precise listening abilities required for commercial contexts. Gains in making inferences based on tone and context further suggest learners benefited from IBL activities designed to cultivate nuanced interpretive skills in business communication.</w:t>
      </w:r>
    </w:p>
    <w:p w14:paraId="1A2D2220"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p>
    <w:p w14:paraId="6D015AF3" w14:textId="77777777" w:rsidR="00816F15" w:rsidRPr="00626F5B" w:rsidRDefault="00816F15" w:rsidP="00816F15">
      <w:pPr>
        <w:tabs>
          <w:tab w:val="left" w:pos="864"/>
          <w:tab w:val="left" w:pos="1152"/>
        </w:tabs>
        <w:spacing w:before="60" w:after="60" w:line="264" w:lineRule="auto"/>
        <w:contextualSpacing/>
        <w:rPr>
          <w:rFonts w:ascii="Times New Roman" w:hAnsi="Times New Roman" w:cs="Times New Roman"/>
          <w:i/>
          <w:iCs/>
          <w:sz w:val="24"/>
          <w:szCs w:val="24"/>
          <w:lang w:val="en-TH"/>
        </w:rPr>
      </w:pPr>
      <w:r w:rsidRPr="00626F5B">
        <w:rPr>
          <w:rFonts w:ascii="Times New Roman" w:hAnsi="Times New Roman" w:cs="Times New Roman"/>
          <w:b/>
          <w:bCs/>
          <w:i/>
          <w:iCs/>
          <w:sz w:val="24"/>
          <w:szCs w:val="24"/>
          <w:lang w:val="en-TH"/>
        </w:rPr>
        <w:t>Qualitative Findings</w:t>
      </w:r>
    </w:p>
    <w:p w14:paraId="680B0B65"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sz w:val="24"/>
          <w:szCs w:val="24"/>
          <w:lang w:val="en-TH"/>
        </w:rPr>
        <w:t>Thematic analysis of student feedback data revealed three prominent themes:</w:t>
      </w:r>
    </w:p>
    <w:p w14:paraId="09183A46" w14:textId="77777777" w:rsidR="00626F5B" w:rsidRDefault="00626F5B" w:rsidP="00626F5B">
      <w:pPr>
        <w:tabs>
          <w:tab w:val="left" w:pos="864"/>
          <w:tab w:val="left" w:pos="1152"/>
        </w:tabs>
        <w:spacing w:before="60" w:after="60" w:line="264" w:lineRule="auto"/>
        <w:contextualSpacing/>
        <w:rPr>
          <w:rFonts w:ascii="Times New Roman" w:hAnsi="Times New Roman" w:cs="Times New Roman"/>
          <w:b/>
          <w:bCs/>
          <w:sz w:val="24"/>
          <w:szCs w:val="24"/>
          <w:lang w:val="en-TH"/>
        </w:rPr>
      </w:pPr>
    </w:p>
    <w:p w14:paraId="0AC109EC" w14:textId="6E9FF21D" w:rsidR="00816F15" w:rsidRPr="00816F15" w:rsidRDefault="00816F15" w:rsidP="00626F5B">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b/>
          <w:bCs/>
          <w:sz w:val="24"/>
          <w:szCs w:val="24"/>
          <w:lang w:val="en-TH"/>
        </w:rPr>
        <w:t>Theme 1: Increased Motivation and Engagement:</w:t>
      </w:r>
      <w:r w:rsidRPr="00816F15">
        <w:rPr>
          <w:rFonts w:ascii="Times New Roman" w:hAnsi="Times New Roman" w:cs="Times New Roman"/>
          <w:sz w:val="24"/>
          <w:szCs w:val="24"/>
          <w:lang w:val="en-TH"/>
        </w:rPr>
        <w:t xml:space="preserve"> Participants strongly expressed a heightened sense of interest and active participation due to the collaborative and problem-solving focus of IBL. The emphasis on real-world business scenarios was identified as more relatable than traditional listening exercises by several students.</w:t>
      </w:r>
    </w:p>
    <w:p w14:paraId="2AA64940" w14:textId="467AC337" w:rsidR="00816F15" w:rsidRPr="00816F15" w:rsidRDefault="00816F15" w:rsidP="00816F15">
      <w:pPr>
        <w:numPr>
          <w:ilvl w:val="1"/>
          <w:numId w:val="16"/>
        </w:num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sz w:val="24"/>
          <w:szCs w:val="24"/>
          <w:lang w:val="en-TH"/>
        </w:rPr>
        <w:t>Supporting Quote: "</w:t>
      </w:r>
      <w:r w:rsidR="00626F5B">
        <w:rPr>
          <w:rFonts w:ascii="Times New Roman" w:hAnsi="Times New Roman" w:cs="Times New Roman"/>
          <w:sz w:val="24"/>
          <w:szCs w:val="24"/>
          <w:lang w:val="en-TH"/>
        </w:rPr>
        <w:t>I feel like t</w:t>
      </w:r>
      <w:r w:rsidRPr="00816F15">
        <w:rPr>
          <w:rFonts w:ascii="Times New Roman" w:hAnsi="Times New Roman" w:cs="Times New Roman"/>
          <w:sz w:val="24"/>
          <w:szCs w:val="24"/>
          <w:lang w:val="en-TH"/>
        </w:rPr>
        <w:t xml:space="preserve">he discussions with my group helped me stay focused because everyone had to contribute to understand the </w:t>
      </w:r>
      <w:r w:rsidR="00626F5B">
        <w:rPr>
          <w:rFonts w:ascii="Times New Roman" w:hAnsi="Times New Roman" w:cs="Times New Roman"/>
          <w:sz w:val="24"/>
          <w:szCs w:val="24"/>
          <w:lang w:val="en-TH"/>
        </w:rPr>
        <w:t xml:space="preserve">clips and the </w:t>
      </w:r>
      <w:r w:rsidRPr="00816F15">
        <w:rPr>
          <w:rFonts w:ascii="Times New Roman" w:hAnsi="Times New Roman" w:cs="Times New Roman"/>
          <w:sz w:val="24"/>
          <w:szCs w:val="24"/>
          <w:lang w:val="en-TH"/>
        </w:rPr>
        <w:t>recordings."</w:t>
      </w:r>
    </w:p>
    <w:p w14:paraId="4854DDAA" w14:textId="77777777" w:rsidR="00816F15" w:rsidRPr="00816F15" w:rsidRDefault="00816F15" w:rsidP="00626F5B">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b/>
          <w:bCs/>
          <w:sz w:val="24"/>
          <w:szCs w:val="24"/>
          <w:lang w:val="en-TH"/>
        </w:rPr>
        <w:t>Theme 2: Enhanced Strategy Use:</w:t>
      </w:r>
      <w:r w:rsidRPr="00816F15">
        <w:rPr>
          <w:rFonts w:ascii="Times New Roman" w:hAnsi="Times New Roman" w:cs="Times New Roman"/>
          <w:sz w:val="24"/>
          <w:szCs w:val="24"/>
          <w:lang w:val="en-TH"/>
        </w:rPr>
        <w:t xml:space="preserve"> Students described adopting a wider range of listening strategies following the IBL program. These included pre-listening brainstorming, utilizing context for prediction, seeking clarification within the group, and increased note-taking for retention.</w:t>
      </w:r>
    </w:p>
    <w:p w14:paraId="7AC88C2F" w14:textId="0EE8139F" w:rsidR="00816F15" w:rsidRPr="00816F15" w:rsidRDefault="00816F15" w:rsidP="00816F15">
      <w:pPr>
        <w:numPr>
          <w:ilvl w:val="1"/>
          <w:numId w:val="16"/>
        </w:num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sz w:val="24"/>
          <w:szCs w:val="24"/>
          <w:lang w:val="en-TH"/>
        </w:rPr>
        <w:t xml:space="preserve">Supporting Quote: "This [IBL] made me realize I wasn't really actively listening before. Now I have </w:t>
      </w:r>
      <w:r w:rsidR="00626F5B">
        <w:rPr>
          <w:rFonts w:ascii="Times New Roman" w:hAnsi="Times New Roman" w:cs="Times New Roman"/>
          <w:sz w:val="24"/>
          <w:szCs w:val="24"/>
          <w:lang w:val="en-TH"/>
        </w:rPr>
        <w:t xml:space="preserve">found </w:t>
      </w:r>
      <w:r w:rsidRPr="00816F15">
        <w:rPr>
          <w:rFonts w:ascii="Times New Roman" w:hAnsi="Times New Roman" w:cs="Times New Roman"/>
          <w:sz w:val="24"/>
          <w:szCs w:val="24"/>
          <w:lang w:val="en-TH"/>
        </w:rPr>
        <w:t>new ways to make sure I catch the important parts."</w:t>
      </w:r>
    </w:p>
    <w:p w14:paraId="7AB6E793" w14:textId="77777777" w:rsidR="00816F15" w:rsidRPr="00816F15" w:rsidRDefault="00816F15" w:rsidP="00626F5B">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b/>
          <w:bCs/>
          <w:sz w:val="24"/>
          <w:szCs w:val="24"/>
          <w:lang w:val="en-TH"/>
        </w:rPr>
        <w:t>Theme 3: Positive Shift in Perceptions:</w:t>
      </w:r>
      <w:r w:rsidRPr="00816F15">
        <w:rPr>
          <w:rFonts w:ascii="Times New Roman" w:hAnsi="Times New Roman" w:cs="Times New Roman"/>
          <w:sz w:val="24"/>
          <w:szCs w:val="24"/>
          <w:lang w:val="en-TH"/>
        </w:rPr>
        <w:t xml:space="preserve"> Student responses indicated a positive change in their perceptions of English listening. Reduced intimidation by complex business materials was common. Enhanced confidence, particularly in group listening settings like simulated meetings, was strongly suggested.</w:t>
      </w:r>
    </w:p>
    <w:p w14:paraId="55DEE005" w14:textId="77777777" w:rsidR="00816F15" w:rsidRPr="00816F15" w:rsidRDefault="00816F15" w:rsidP="00816F15">
      <w:pPr>
        <w:numPr>
          <w:ilvl w:val="1"/>
          <w:numId w:val="16"/>
        </w:num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sz w:val="24"/>
          <w:szCs w:val="24"/>
          <w:lang w:val="en-TH"/>
        </w:rPr>
        <w:t>Supporting Quote: "It helps a lot practicing listening as a team. This made me see it as a skill we can all help each other with, not just everyone struggling alone."</w:t>
      </w:r>
    </w:p>
    <w:p w14:paraId="11DA50A7" w14:textId="77777777" w:rsidR="00626F5B" w:rsidRDefault="00626F5B" w:rsidP="00816F15">
      <w:pPr>
        <w:tabs>
          <w:tab w:val="left" w:pos="864"/>
          <w:tab w:val="left" w:pos="1152"/>
        </w:tabs>
        <w:spacing w:before="60" w:after="60" w:line="264" w:lineRule="auto"/>
        <w:contextualSpacing/>
        <w:rPr>
          <w:rFonts w:ascii="Times New Roman" w:hAnsi="Times New Roman" w:cs="Times New Roman"/>
          <w:b/>
          <w:bCs/>
          <w:sz w:val="24"/>
          <w:szCs w:val="24"/>
          <w:lang w:val="en-TH"/>
        </w:rPr>
      </w:pPr>
    </w:p>
    <w:p w14:paraId="62451620" w14:textId="3E34FCFD" w:rsidR="00816F15" w:rsidRP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b/>
          <w:bCs/>
          <w:sz w:val="24"/>
          <w:szCs w:val="24"/>
          <w:lang w:val="en-TH"/>
        </w:rPr>
        <w:t>Triangulation of Findings</w:t>
      </w:r>
    </w:p>
    <w:p w14:paraId="0F6EC290" w14:textId="77777777" w:rsidR="00816F15" w:rsidRPr="00816F15" w:rsidRDefault="00816F15" w:rsidP="00816F15">
      <w:pPr>
        <w:tabs>
          <w:tab w:val="left" w:pos="864"/>
          <w:tab w:val="left" w:pos="1152"/>
        </w:tabs>
        <w:spacing w:before="60" w:after="60" w:line="264" w:lineRule="auto"/>
        <w:contextualSpacing/>
        <w:rPr>
          <w:rFonts w:ascii="Times New Roman" w:hAnsi="Times New Roman" w:cs="Times New Roman"/>
          <w:sz w:val="24"/>
          <w:szCs w:val="24"/>
          <w:lang w:val="en-TH"/>
        </w:rPr>
      </w:pPr>
      <w:r w:rsidRPr="00816F15">
        <w:rPr>
          <w:rFonts w:ascii="Times New Roman" w:hAnsi="Times New Roman" w:cs="Times New Roman"/>
          <w:sz w:val="24"/>
          <w:szCs w:val="24"/>
          <w:lang w:val="en-TH"/>
        </w:rPr>
        <w:t>Quantitative improvement in test scores verifies the overall benefit of the IBL intervention on student listening comprehension. These gains align with qualitative data suggesting students felt more motivated, developed active listening strategies, and exhibited more positive attitudes towards English listening. Importantly, enhanced identification of specific details within business listening passages directly reinforces student feedback about increased focus and attention to task-relevant information.</w:t>
      </w:r>
    </w:p>
    <w:p w14:paraId="062D6FD3" w14:textId="272AC83C" w:rsidR="00BA6651" w:rsidRPr="00816F15" w:rsidRDefault="00BA6651" w:rsidP="00816F15">
      <w:pPr>
        <w:tabs>
          <w:tab w:val="left" w:pos="864"/>
          <w:tab w:val="left" w:pos="1152"/>
        </w:tabs>
        <w:spacing w:before="60" w:after="60" w:line="264" w:lineRule="auto"/>
        <w:contextualSpacing/>
        <w:rPr>
          <w:rFonts w:ascii="Times New Roman" w:hAnsi="Times New Roman" w:cs="Times New Roman"/>
          <w:sz w:val="24"/>
          <w:szCs w:val="24"/>
          <w:lang w:val="en-TH"/>
        </w:rPr>
      </w:pPr>
    </w:p>
    <w:p w14:paraId="457AC333" w14:textId="3E7ECF38" w:rsidR="00BA6651" w:rsidRPr="00DC5D06" w:rsidRDefault="00B80560" w:rsidP="00DC5D06">
      <w:pPr>
        <w:pStyle w:val="NoSpacing"/>
        <w:rPr>
          <w:rFonts w:ascii="Times New Roman" w:hAnsi="Times New Roman" w:cs="Times New Roman"/>
          <w:color w:val="3333FF"/>
          <w:sz w:val="24"/>
          <w:szCs w:val="24"/>
          <w:lang w:val="en-AU"/>
        </w:rPr>
      </w:pPr>
      <w:r>
        <w:rPr>
          <w:rFonts w:ascii="Times New Roman" w:hAnsi="Times New Roman" w:cs="Times New Roman"/>
          <w:b/>
          <w:bCs/>
          <w:sz w:val="24"/>
          <w:szCs w:val="24"/>
        </w:rPr>
        <w:t>6</w:t>
      </w:r>
      <w:r w:rsidR="00BA6651">
        <w:rPr>
          <w:rFonts w:ascii="Times New Roman" w:hAnsi="Times New Roman" w:cs="Times New Roman"/>
          <w:b/>
          <w:bCs/>
          <w:sz w:val="24"/>
          <w:szCs w:val="24"/>
        </w:rPr>
        <w:t xml:space="preserve">. </w:t>
      </w:r>
      <w:r w:rsidR="00365EC3">
        <w:rPr>
          <w:rFonts w:ascii="Times New Roman" w:hAnsi="Times New Roman" w:cs="Times New Roman"/>
          <w:b/>
          <w:bCs/>
          <w:sz w:val="24"/>
          <w:szCs w:val="24"/>
        </w:rPr>
        <w:t xml:space="preserve">Discussion </w:t>
      </w:r>
      <w:r w:rsidR="002A3BB8">
        <w:rPr>
          <w:rFonts w:ascii="Times New Roman" w:hAnsi="Times New Roman" w:cs="Times New Roman"/>
          <w:b/>
          <w:bCs/>
          <w:sz w:val="24"/>
          <w:szCs w:val="24"/>
        </w:rPr>
        <w:t xml:space="preserve">and </w:t>
      </w:r>
      <w:r w:rsidR="00DC5D06">
        <w:rPr>
          <w:rFonts w:ascii="Times New Roman" w:hAnsi="Times New Roman" w:cs="Times New Roman"/>
          <w:b/>
          <w:bCs/>
          <w:sz w:val="24"/>
          <w:szCs w:val="24"/>
        </w:rPr>
        <w:t>Conclusion</w:t>
      </w:r>
      <w:r w:rsidR="00DC5D06">
        <w:rPr>
          <w:rFonts w:ascii="Times New Roman" w:hAnsi="Times New Roman" w:hint="cs"/>
          <w:b/>
          <w:bCs/>
          <w:sz w:val="24"/>
          <w:szCs w:val="24"/>
          <w:cs/>
        </w:rPr>
        <w:t xml:space="preserve"> </w:t>
      </w:r>
      <w:r w:rsidR="00BA6651">
        <w:rPr>
          <w:rFonts w:ascii="Times New Roman" w:hAnsi="Times New Roman" w:cs="Angsana New" w:hint="cs"/>
          <w:b/>
          <w:bCs/>
          <w:color w:val="000000" w:themeColor="text1"/>
          <w:sz w:val="24"/>
          <w:szCs w:val="24"/>
          <w:cs/>
        </w:rPr>
        <w:t>(</w:t>
      </w:r>
      <w:r w:rsidR="00BA6651">
        <w:rPr>
          <w:rFonts w:ascii="Times New Roman" w:hAnsi="Times New Roman" w:cs="Times New Roman"/>
          <w:color w:val="000000" w:themeColor="text1"/>
          <w:sz w:val="24"/>
          <w:szCs w:val="24"/>
        </w:rPr>
        <w:t>Times New Roman 12 point</w:t>
      </w:r>
      <w:r w:rsidR="00BA6651">
        <w:rPr>
          <w:rFonts w:ascii="Times New Roman" w:hAnsi="Times New Roman" w:cs="Times New Roman"/>
          <w:b/>
          <w:bCs/>
          <w:color w:val="000000" w:themeColor="text1"/>
          <w:sz w:val="24"/>
          <w:szCs w:val="24"/>
        </w:rPr>
        <w:t>, bold</w:t>
      </w:r>
      <w:r w:rsidR="00BA6651">
        <w:rPr>
          <w:rFonts w:ascii="Times New Roman" w:hAnsi="Times New Roman" w:cs="Angsana New" w:hint="cs"/>
          <w:b/>
          <w:bCs/>
          <w:color w:val="000000" w:themeColor="text1"/>
          <w:sz w:val="24"/>
          <w:szCs w:val="24"/>
          <w:cs/>
        </w:rPr>
        <w:t>)</w:t>
      </w:r>
    </w:p>
    <w:p w14:paraId="72AAE14F" w14:textId="77777777" w:rsidR="00626F5B" w:rsidRDefault="00626F5B" w:rsidP="00816F15">
      <w:pPr>
        <w:pStyle w:val="NoSpacing"/>
        <w:rPr>
          <w:rFonts w:ascii="Times New Roman" w:hAnsi="Times New Roman" w:cs="Times New Roman"/>
          <w:b/>
          <w:bCs/>
          <w:i/>
          <w:iCs/>
          <w:sz w:val="24"/>
          <w:szCs w:val="24"/>
          <w:lang w:val="en-TH"/>
        </w:rPr>
      </w:pPr>
    </w:p>
    <w:p w14:paraId="7007FA4D" w14:textId="7F54C8DE" w:rsidR="00816F15" w:rsidRPr="00626F5B" w:rsidRDefault="00816F15" w:rsidP="00816F15">
      <w:pPr>
        <w:pStyle w:val="NoSpacing"/>
        <w:rPr>
          <w:rFonts w:ascii="Times New Roman" w:hAnsi="Times New Roman" w:cs="Times New Roman"/>
          <w:b/>
          <w:bCs/>
          <w:sz w:val="24"/>
          <w:szCs w:val="24"/>
          <w:lang w:val="en-TH"/>
        </w:rPr>
      </w:pPr>
      <w:r w:rsidRPr="00626F5B">
        <w:rPr>
          <w:rFonts w:ascii="Times New Roman" w:hAnsi="Times New Roman" w:cs="Times New Roman"/>
          <w:b/>
          <w:bCs/>
          <w:sz w:val="24"/>
          <w:szCs w:val="24"/>
          <w:lang w:val="en-TH"/>
        </w:rPr>
        <w:t>Discussion</w:t>
      </w:r>
    </w:p>
    <w:p w14:paraId="1FE6945A" w14:textId="77777777" w:rsidR="00626F5B" w:rsidRDefault="00626F5B" w:rsidP="00816F15">
      <w:pPr>
        <w:pStyle w:val="NoSpacing"/>
        <w:rPr>
          <w:rFonts w:ascii="Times New Roman" w:hAnsi="Times New Roman" w:cs="Times New Roman"/>
          <w:b/>
          <w:bCs/>
          <w:sz w:val="24"/>
          <w:szCs w:val="24"/>
          <w:lang w:val="en-TH"/>
        </w:rPr>
      </w:pPr>
    </w:p>
    <w:p w14:paraId="2A2ABE61" w14:textId="3620B5AE" w:rsidR="00816F15" w:rsidRPr="00626F5B" w:rsidRDefault="00816F15" w:rsidP="00816F15">
      <w:pPr>
        <w:pStyle w:val="NoSpacing"/>
        <w:rPr>
          <w:rFonts w:ascii="Times New Roman" w:hAnsi="Times New Roman" w:cs="Times New Roman"/>
          <w:i/>
          <w:iCs/>
          <w:sz w:val="24"/>
          <w:szCs w:val="24"/>
          <w:lang w:val="en-TH"/>
        </w:rPr>
      </w:pPr>
      <w:r w:rsidRPr="00626F5B">
        <w:rPr>
          <w:rFonts w:ascii="Times New Roman" w:hAnsi="Times New Roman" w:cs="Times New Roman"/>
          <w:b/>
          <w:bCs/>
          <w:i/>
          <w:iCs/>
          <w:sz w:val="24"/>
          <w:szCs w:val="24"/>
          <w:lang w:val="en-TH"/>
        </w:rPr>
        <w:t>Effectiveness of IBL Intervention</w:t>
      </w:r>
    </w:p>
    <w:p w14:paraId="44D64FD4" w14:textId="77777777" w:rsidR="00816F15" w:rsidRPr="00816F15" w:rsidRDefault="00816F15" w:rsidP="00626F5B">
      <w:pPr>
        <w:pStyle w:val="NoSpacing"/>
        <w:ind w:firstLine="720"/>
        <w:rPr>
          <w:rFonts w:ascii="Times New Roman" w:hAnsi="Times New Roman" w:cs="Times New Roman"/>
          <w:sz w:val="24"/>
          <w:szCs w:val="24"/>
          <w:lang w:val="en-TH"/>
        </w:rPr>
      </w:pPr>
      <w:r w:rsidRPr="00816F15">
        <w:rPr>
          <w:rFonts w:ascii="Times New Roman" w:hAnsi="Times New Roman" w:cs="Times New Roman"/>
          <w:sz w:val="24"/>
          <w:szCs w:val="24"/>
          <w:lang w:val="en-TH"/>
        </w:rPr>
        <w:t>This study's findings present compelling evidence that Inquiry-Based Learning (IBL) significantly improved the English listening proficiency of Business English majors. Not only did students show measurable gains in overall listening comprehension, but also exhibited marked progress in accurately processing detailed information essential for commercial communication. These results underscore IBL's ability to directly address the key challenges faced by learners in acquiring the nuanced listening skills demanded by business contexts (Yeldrim, 2014). These quantitative improvements resonate with qualitative themes, demonstrating a shift in learners' self-perceptions about their listening confidence and strategic capabilities. This suggests that IBL can positively transform how learners approach the complex process of listening as a whole.</w:t>
      </w:r>
    </w:p>
    <w:p w14:paraId="0CCDED96" w14:textId="77777777" w:rsidR="00626F5B" w:rsidRDefault="00626F5B" w:rsidP="00816F15">
      <w:pPr>
        <w:pStyle w:val="NoSpacing"/>
        <w:rPr>
          <w:rFonts w:ascii="Times New Roman" w:hAnsi="Times New Roman" w:cs="Times New Roman"/>
          <w:b/>
          <w:bCs/>
          <w:sz w:val="24"/>
          <w:szCs w:val="24"/>
          <w:lang w:val="en-TH"/>
        </w:rPr>
      </w:pPr>
    </w:p>
    <w:p w14:paraId="6CC14185" w14:textId="6BD606C0" w:rsidR="00816F15" w:rsidRPr="00626F5B" w:rsidRDefault="00816F15" w:rsidP="00816F15">
      <w:pPr>
        <w:pStyle w:val="NoSpacing"/>
        <w:rPr>
          <w:rFonts w:ascii="Times New Roman" w:hAnsi="Times New Roman" w:cs="Times New Roman"/>
          <w:i/>
          <w:iCs/>
          <w:sz w:val="24"/>
          <w:szCs w:val="24"/>
          <w:lang w:val="en-TH"/>
        </w:rPr>
      </w:pPr>
      <w:r w:rsidRPr="00626F5B">
        <w:rPr>
          <w:rFonts w:ascii="Times New Roman" w:hAnsi="Times New Roman" w:cs="Times New Roman"/>
          <w:b/>
          <w:bCs/>
          <w:i/>
          <w:iCs/>
          <w:sz w:val="24"/>
          <w:szCs w:val="24"/>
          <w:lang w:val="en-TH"/>
        </w:rPr>
        <w:t>Learner Perceptions of IBL</w:t>
      </w:r>
    </w:p>
    <w:p w14:paraId="4CFB6C6C" w14:textId="77777777" w:rsidR="00816F15" w:rsidRPr="00816F15" w:rsidRDefault="00816F15" w:rsidP="00626F5B">
      <w:pPr>
        <w:pStyle w:val="NoSpacing"/>
        <w:ind w:firstLine="720"/>
        <w:rPr>
          <w:rFonts w:ascii="Times New Roman" w:hAnsi="Times New Roman" w:cs="Times New Roman"/>
          <w:sz w:val="24"/>
          <w:szCs w:val="24"/>
          <w:lang w:val="en-TH"/>
        </w:rPr>
      </w:pPr>
      <w:r w:rsidRPr="00816F15">
        <w:rPr>
          <w:rFonts w:ascii="Times New Roman" w:hAnsi="Times New Roman" w:cs="Times New Roman"/>
          <w:sz w:val="24"/>
          <w:szCs w:val="24"/>
          <w:lang w:val="en-TH"/>
        </w:rPr>
        <w:t>Student experiences indicate that IBL played a transformative role in shaping positive attitudes towards English listening. Its collaborative, problem-solving framework reduced isolation often associated with listening tasks, facilitating peer support and greater engagement. Feedback highlighted the motivational impact of relevant materials and task design. Learners described increased proactivity, with deliberate strategy usage and focused interaction driving comprehension. These responses underscore IBL's potential to nurture intrinsic motivation and self-regulatory behaviors, foundational to developing long-term language skill mastery, particularly with challenging skills like listening (Ryan &amp; Deci, 2000).</w:t>
      </w:r>
    </w:p>
    <w:p w14:paraId="1A4F12C0" w14:textId="77777777" w:rsidR="00626F5B" w:rsidRDefault="00626F5B" w:rsidP="00816F15">
      <w:pPr>
        <w:pStyle w:val="NoSpacing"/>
        <w:rPr>
          <w:rFonts w:ascii="Times New Roman" w:hAnsi="Times New Roman" w:cs="Times New Roman"/>
          <w:b/>
          <w:bCs/>
          <w:sz w:val="24"/>
          <w:szCs w:val="24"/>
          <w:lang w:val="en-TH"/>
        </w:rPr>
      </w:pPr>
    </w:p>
    <w:p w14:paraId="647B54A8" w14:textId="5320544E" w:rsidR="00816F15" w:rsidRPr="00626F5B" w:rsidRDefault="00816F15" w:rsidP="00816F15">
      <w:pPr>
        <w:pStyle w:val="NoSpacing"/>
        <w:rPr>
          <w:rFonts w:ascii="Times New Roman" w:hAnsi="Times New Roman" w:cs="Times New Roman"/>
          <w:i/>
          <w:iCs/>
          <w:sz w:val="24"/>
          <w:szCs w:val="24"/>
          <w:lang w:val="en-TH"/>
        </w:rPr>
      </w:pPr>
      <w:r w:rsidRPr="00626F5B">
        <w:rPr>
          <w:rFonts w:ascii="Times New Roman" w:hAnsi="Times New Roman" w:cs="Times New Roman"/>
          <w:b/>
          <w:bCs/>
          <w:i/>
          <w:iCs/>
          <w:sz w:val="24"/>
          <w:szCs w:val="24"/>
          <w:lang w:val="en-TH"/>
        </w:rPr>
        <w:t>Implications</w:t>
      </w:r>
    </w:p>
    <w:p w14:paraId="6A6BA0AC" w14:textId="77777777" w:rsidR="00816F15" w:rsidRPr="00816F15" w:rsidRDefault="00816F15" w:rsidP="00816F15">
      <w:pPr>
        <w:pStyle w:val="NoSpacing"/>
        <w:numPr>
          <w:ilvl w:val="0"/>
          <w:numId w:val="17"/>
        </w:numPr>
        <w:rPr>
          <w:rFonts w:ascii="Times New Roman" w:hAnsi="Times New Roman" w:cs="Times New Roman"/>
          <w:sz w:val="24"/>
          <w:szCs w:val="24"/>
          <w:lang w:val="en-TH"/>
        </w:rPr>
      </w:pPr>
      <w:r w:rsidRPr="00816F15">
        <w:rPr>
          <w:rFonts w:ascii="Times New Roman" w:hAnsi="Times New Roman" w:cs="Times New Roman"/>
          <w:b/>
          <w:bCs/>
          <w:sz w:val="24"/>
          <w:szCs w:val="24"/>
          <w:lang w:val="en-TH"/>
        </w:rPr>
        <w:t>Recommendations for Practice:</w:t>
      </w:r>
      <w:r w:rsidRPr="00816F15">
        <w:rPr>
          <w:rFonts w:ascii="Times New Roman" w:hAnsi="Times New Roman" w:cs="Times New Roman"/>
          <w:sz w:val="24"/>
          <w:szCs w:val="24"/>
          <w:lang w:val="en-TH"/>
        </w:rPr>
        <w:t xml:space="preserve"> This study strongly supports the inclusion of IBL methods in EFL business English listening instruction. Educators should prioritize inquiry-focused activities for dynamic, learner-centered listening experiences. Integrating authentic business recordings, tasks emphasizing real-world relevance, and opportunities for guided problem-solving through listening materials are key takeaways.</w:t>
      </w:r>
    </w:p>
    <w:p w14:paraId="3DFFD90D" w14:textId="77777777" w:rsidR="00816F15" w:rsidRPr="00816F15" w:rsidRDefault="00816F15" w:rsidP="00816F15">
      <w:pPr>
        <w:pStyle w:val="NoSpacing"/>
        <w:numPr>
          <w:ilvl w:val="0"/>
          <w:numId w:val="17"/>
        </w:numPr>
        <w:rPr>
          <w:rFonts w:ascii="Times New Roman" w:hAnsi="Times New Roman" w:cs="Times New Roman"/>
          <w:sz w:val="24"/>
          <w:szCs w:val="24"/>
          <w:lang w:val="en-TH"/>
        </w:rPr>
      </w:pPr>
      <w:r w:rsidRPr="00816F15">
        <w:rPr>
          <w:rFonts w:ascii="Times New Roman" w:hAnsi="Times New Roman" w:cs="Times New Roman"/>
          <w:b/>
          <w:bCs/>
          <w:sz w:val="24"/>
          <w:szCs w:val="24"/>
          <w:lang w:val="en-TH"/>
        </w:rPr>
        <w:t>Adapting IBL:</w:t>
      </w:r>
      <w:r w:rsidRPr="00816F15">
        <w:rPr>
          <w:rFonts w:ascii="Times New Roman" w:hAnsi="Times New Roman" w:cs="Times New Roman"/>
          <w:sz w:val="24"/>
          <w:szCs w:val="24"/>
          <w:lang w:val="en-TH"/>
        </w:rPr>
        <w:t xml:space="preserve"> Aligned with constructivist IBL frameworks, it's essential to scaffold and individualize the learning process according to student needs. Techniques like background knowledge activation, gradual information release during listening, and targeted questioning are powerful tools. Technology like discussion forums can supplement face-to-face learning, extending practice and accommodating diverse engagement styles, maximizing IBL's benefits.</w:t>
      </w:r>
    </w:p>
    <w:p w14:paraId="16B8228A" w14:textId="77777777" w:rsidR="00626F5B" w:rsidRDefault="00626F5B" w:rsidP="00816F15">
      <w:pPr>
        <w:pStyle w:val="NoSpacing"/>
        <w:rPr>
          <w:rFonts w:ascii="Times New Roman" w:hAnsi="Times New Roman" w:cs="Times New Roman"/>
          <w:b/>
          <w:bCs/>
          <w:sz w:val="24"/>
          <w:szCs w:val="24"/>
          <w:lang w:val="en-TH"/>
        </w:rPr>
      </w:pPr>
    </w:p>
    <w:p w14:paraId="1B369726" w14:textId="668EFE21" w:rsidR="00816F15" w:rsidRPr="00626F5B" w:rsidRDefault="00816F15" w:rsidP="00816F15">
      <w:pPr>
        <w:pStyle w:val="NoSpacing"/>
        <w:rPr>
          <w:rFonts w:ascii="Times New Roman" w:hAnsi="Times New Roman" w:cs="Times New Roman"/>
          <w:i/>
          <w:iCs/>
          <w:sz w:val="24"/>
          <w:szCs w:val="24"/>
          <w:lang w:val="en-TH"/>
        </w:rPr>
      </w:pPr>
      <w:r w:rsidRPr="00626F5B">
        <w:rPr>
          <w:rFonts w:ascii="Times New Roman" w:hAnsi="Times New Roman" w:cs="Times New Roman"/>
          <w:b/>
          <w:bCs/>
          <w:i/>
          <w:iCs/>
          <w:sz w:val="24"/>
          <w:szCs w:val="24"/>
          <w:lang w:val="en-TH"/>
        </w:rPr>
        <w:t>Limitations and Future Research Directions</w:t>
      </w:r>
    </w:p>
    <w:p w14:paraId="185154F7" w14:textId="77777777" w:rsidR="00816F15" w:rsidRPr="00816F15" w:rsidRDefault="00816F15" w:rsidP="00DF4E62">
      <w:pPr>
        <w:pStyle w:val="NoSpacing"/>
        <w:ind w:firstLine="720"/>
        <w:rPr>
          <w:rFonts w:ascii="Times New Roman" w:hAnsi="Times New Roman" w:cs="Times New Roman"/>
          <w:sz w:val="24"/>
          <w:szCs w:val="24"/>
          <w:lang w:val="en-TH"/>
        </w:rPr>
      </w:pPr>
      <w:r w:rsidRPr="00816F15">
        <w:rPr>
          <w:rFonts w:ascii="Times New Roman" w:hAnsi="Times New Roman" w:cs="Times New Roman"/>
          <w:sz w:val="24"/>
          <w:szCs w:val="24"/>
          <w:lang w:val="en-TH"/>
        </w:rPr>
        <w:t>It's vital to acknowledge the case study's focus on a specific population of Thai university students. Expanded research, including larger samples, longitudinal studies, and comparison with other instruction methods, would yield broader insights into IBL's varied applications within EFL contexts. A focused qualitative investigation into how and why IBL promotes greater motivation and self-regulation could significantly inform the refinement of evidence-based language learning interventions.</w:t>
      </w:r>
    </w:p>
    <w:p w14:paraId="29918A7B" w14:textId="77777777" w:rsidR="00816F15" w:rsidRPr="00816F15" w:rsidRDefault="00816F15" w:rsidP="00816F15">
      <w:pPr>
        <w:pStyle w:val="NoSpacing"/>
        <w:rPr>
          <w:rFonts w:ascii="Times New Roman" w:hAnsi="Times New Roman" w:cs="Times New Roman"/>
          <w:sz w:val="24"/>
          <w:szCs w:val="24"/>
          <w:lang w:val="en-TH"/>
        </w:rPr>
      </w:pPr>
      <w:r w:rsidRPr="00816F15">
        <w:rPr>
          <w:rFonts w:ascii="Times New Roman" w:hAnsi="Times New Roman" w:cs="Times New Roman"/>
          <w:b/>
          <w:bCs/>
          <w:sz w:val="24"/>
          <w:szCs w:val="24"/>
          <w:lang w:val="en-TH"/>
        </w:rPr>
        <w:lastRenderedPageBreak/>
        <w:t>Conclusion</w:t>
      </w:r>
    </w:p>
    <w:p w14:paraId="4F7A4D00" w14:textId="77777777" w:rsidR="00816F15" w:rsidRPr="00816F15" w:rsidRDefault="00816F15" w:rsidP="00626F5B">
      <w:pPr>
        <w:pStyle w:val="NoSpacing"/>
        <w:ind w:firstLine="720"/>
        <w:rPr>
          <w:rFonts w:ascii="Times New Roman" w:hAnsi="Times New Roman" w:cs="Times New Roman"/>
          <w:sz w:val="24"/>
          <w:szCs w:val="24"/>
          <w:lang w:val="en-TH"/>
        </w:rPr>
      </w:pPr>
      <w:r w:rsidRPr="00816F15">
        <w:rPr>
          <w:rFonts w:ascii="Times New Roman" w:hAnsi="Times New Roman" w:cs="Times New Roman"/>
          <w:sz w:val="24"/>
          <w:szCs w:val="24"/>
          <w:lang w:val="en-TH"/>
        </w:rPr>
        <w:t>This study set out to examine the efficacy of Inquiry-Based Learning (IBL) for enhancing English listening comprehension among Thai EFL students majoring in business English. The findings provide strong evidence that IBL methodologies not only significantly improve learner listening proficiency, but also cultivate positive shifts in motivation, strategy use, and overall attitudes towards listening development. These outcomes are particularly impactful within business English contexts due to the IBL focus on communication-centered activities demanding the identification and decoding of key details essential to commercial understanding.</w:t>
      </w:r>
    </w:p>
    <w:p w14:paraId="21E8DB4F" w14:textId="77777777" w:rsidR="00816F15" w:rsidRPr="00816F15" w:rsidRDefault="00816F15" w:rsidP="00626F5B">
      <w:pPr>
        <w:pStyle w:val="NoSpacing"/>
        <w:ind w:firstLine="720"/>
        <w:rPr>
          <w:rFonts w:ascii="Times New Roman" w:hAnsi="Times New Roman" w:cs="Times New Roman"/>
          <w:sz w:val="24"/>
          <w:szCs w:val="24"/>
          <w:lang w:val="en-TH"/>
        </w:rPr>
      </w:pPr>
      <w:r w:rsidRPr="00816F15">
        <w:rPr>
          <w:rFonts w:ascii="Times New Roman" w:hAnsi="Times New Roman" w:cs="Times New Roman"/>
          <w:sz w:val="24"/>
          <w:szCs w:val="24"/>
          <w:lang w:val="en-TH"/>
        </w:rPr>
        <w:t>This study further highlights the role of IBL in creating a conducive and motivational environment for student-directed, meaningful language learning. This is in line with constructivist pedagogical theories and supports the potential of IBL in reducing rote-learning tendencies often observed in EFL contexts. Furthermore, the successful application of IBL demonstrated in this case study contributes to addressing the gap in research examining the potential for inquiry-led practice within the domain of English listening development, specifically for business-focused student populations.</w:t>
      </w:r>
    </w:p>
    <w:p w14:paraId="7D322529" w14:textId="77777777" w:rsidR="00816F15" w:rsidRPr="00816F15" w:rsidRDefault="00816F15" w:rsidP="00626F5B">
      <w:pPr>
        <w:pStyle w:val="NoSpacing"/>
        <w:ind w:firstLine="720"/>
        <w:rPr>
          <w:rFonts w:ascii="Times New Roman" w:hAnsi="Times New Roman" w:cs="Times New Roman"/>
          <w:sz w:val="24"/>
          <w:szCs w:val="24"/>
          <w:lang w:val="en-TH"/>
        </w:rPr>
      </w:pPr>
      <w:r w:rsidRPr="00816F15">
        <w:rPr>
          <w:rFonts w:ascii="Times New Roman" w:hAnsi="Times New Roman" w:cs="Times New Roman"/>
          <w:sz w:val="24"/>
          <w:szCs w:val="24"/>
          <w:lang w:val="en-TH"/>
        </w:rPr>
        <w:t>While context-specific, the findings from this research conducted at Phetchabun Rajabhat University suggest a significant advancement in understanding how to tailor IBL to empower Thai EFL learners in developing the vital English listening skills needed for success in their future business careers. Overall, this case study affirms the transformative potential of IBL within English listening instruction, providing educators with valuable guidance for fostering motivated, strategically proficient, and confident listeners.</w:t>
      </w:r>
    </w:p>
    <w:p w14:paraId="07C89055" w14:textId="77777777" w:rsidR="00816F15" w:rsidRPr="00816F15" w:rsidRDefault="00816F15" w:rsidP="00816F15">
      <w:pPr>
        <w:pStyle w:val="NoSpacing"/>
        <w:rPr>
          <w:rFonts w:ascii="Times New Roman" w:hAnsi="Times New Roman" w:cs="Times New Roman"/>
          <w:sz w:val="24"/>
          <w:szCs w:val="24"/>
          <w:lang w:val="en-TH"/>
        </w:rPr>
      </w:pPr>
    </w:p>
    <w:p w14:paraId="3486D9AE" w14:textId="64BED32F" w:rsidR="00BA6651" w:rsidRPr="00E0569E" w:rsidRDefault="00EB4A20" w:rsidP="00E0569E">
      <w:pPr>
        <w:pStyle w:val="NoSpacing"/>
        <w:rPr>
          <w:rFonts w:ascii="Times New Roman" w:hAnsi="Times New Roman" w:cs="Times New Roman"/>
          <w:color w:val="3333FF"/>
          <w:sz w:val="24"/>
          <w:szCs w:val="24"/>
          <w:lang w:val="en-AU"/>
        </w:rPr>
      </w:pPr>
      <w:r>
        <w:rPr>
          <w:rFonts w:ascii="Times New Roman" w:hAnsi="Times New Roman" w:cs="Times New Roman"/>
          <w:b/>
          <w:bCs/>
          <w:sz w:val="24"/>
          <w:szCs w:val="24"/>
        </w:rPr>
        <w:t>7</w:t>
      </w:r>
      <w:r w:rsidR="00BA6651">
        <w:rPr>
          <w:rFonts w:ascii="Times New Roman" w:hAnsi="Times New Roman" w:cs="Times New Roman"/>
          <w:b/>
          <w:bCs/>
          <w:sz w:val="24"/>
          <w:szCs w:val="24"/>
        </w:rPr>
        <w:t xml:space="preserve">. </w:t>
      </w:r>
      <w:r w:rsidR="00E0569E">
        <w:rPr>
          <w:rFonts w:ascii="Times New Roman" w:hAnsi="Times New Roman" w:cs="Times New Roman"/>
          <w:b/>
          <w:bCs/>
          <w:sz w:val="24"/>
          <w:szCs w:val="24"/>
        </w:rPr>
        <w:t>References</w:t>
      </w:r>
      <w:r w:rsidR="00E0569E" w:rsidRPr="00E0569E">
        <w:rPr>
          <w:rFonts w:ascii="Times New Roman" w:hAnsi="Times New Roman" w:cs="Times New Roman"/>
          <w:sz w:val="24"/>
          <w:szCs w:val="24"/>
        </w:rPr>
        <w:t xml:space="preserve"> </w:t>
      </w:r>
    </w:p>
    <w:p w14:paraId="7CFC332D" w14:textId="77777777" w:rsidR="00064AA4" w:rsidRDefault="00064AA4" w:rsidP="00064AA4">
      <w:pPr>
        <w:rPr>
          <w:rFonts w:ascii="Times New Roman" w:hAnsi="Times New Roman" w:cs="Times New Roman"/>
          <w:sz w:val="24"/>
          <w:szCs w:val="24"/>
          <w:lang w:val="en-TH"/>
        </w:rPr>
      </w:pPr>
    </w:p>
    <w:p w14:paraId="79A40107" w14:textId="77777777" w:rsidR="00064AA4" w:rsidRDefault="0051247B" w:rsidP="00064AA4">
      <w:pPr>
        <w:ind w:left="36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Derwing, T. M., &amp; Munro, M. J. (2015). Accent, intelligibility, and comprehensibility. </w:t>
      </w:r>
    </w:p>
    <w:p w14:paraId="29BED727" w14:textId="166346E8" w:rsidR="00064AA4" w:rsidRPr="0051247B" w:rsidRDefault="0051247B" w:rsidP="00064AA4">
      <w:pPr>
        <w:ind w:left="1080" w:firstLine="54"/>
        <w:rPr>
          <w:rFonts w:ascii="Times New Roman" w:hAnsi="Times New Roman" w:cs="Times New Roman"/>
          <w:sz w:val="24"/>
          <w:szCs w:val="24"/>
          <w:lang w:val="en-TH"/>
        </w:rPr>
      </w:pPr>
      <w:r w:rsidRPr="0051247B">
        <w:rPr>
          <w:rFonts w:ascii="Times New Roman" w:hAnsi="Times New Roman" w:cs="Times New Roman"/>
          <w:i/>
          <w:iCs/>
          <w:sz w:val="24"/>
          <w:szCs w:val="24"/>
          <w:lang w:val="en-TH"/>
        </w:rPr>
        <w:t>Studies in Second Language Acquisition</w:t>
      </w:r>
      <w:r w:rsidRPr="0051247B">
        <w:rPr>
          <w:rFonts w:ascii="Times New Roman" w:hAnsi="Times New Roman" w:cs="Times New Roman"/>
          <w:sz w:val="24"/>
          <w:szCs w:val="24"/>
          <w:lang w:val="en-TH"/>
        </w:rPr>
        <w:t>, 37, 311–332.</w:t>
      </w:r>
    </w:p>
    <w:p w14:paraId="615B8F10" w14:textId="77777777" w:rsidR="00064AA4" w:rsidRDefault="0051247B" w:rsidP="00064AA4">
      <w:pPr>
        <w:ind w:firstLine="360"/>
        <w:rPr>
          <w:rFonts w:ascii="Times New Roman" w:hAnsi="Times New Roman" w:cs="Times New Roman"/>
          <w:i/>
          <w:iCs/>
          <w:sz w:val="24"/>
          <w:szCs w:val="24"/>
          <w:lang w:val="en-TH"/>
        </w:rPr>
      </w:pPr>
      <w:r w:rsidRPr="0051247B">
        <w:rPr>
          <w:rFonts w:ascii="Times New Roman" w:hAnsi="Times New Roman" w:cs="Times New Roman"/>
          <w:sz w:val="24"/>
          <w:szCs w:val="24"/>
          <w:lang w:val="en-TH"/>
        </w:rPr>
        <w:t xml:space="preserve">Kennedy, S., &amp; Trofimovich, P. (2018). </w:t>
      </w:r>
      <w:r w:rsidRPr="0051247B">
        <w:rPr>
          <w:rFonts w:ascii="Times New Roman" w:hAnsi="Times New Roman" w:cs="Times New Roman"/>
          <w:i/>
          <w:iCs/>
          <w:sz w:val="24"/>
          <w:szCs w:val="24"/>
          <w:lang w:val="en-TH"/>
        </w:rPr>
        <w:t xml:space="preserve">Intelligibility, Comprehensibility, and </w:t>
      </w:r>
    </w:p>
    <w:p w14:paraId="0D57D5DD" w14:textId="108C465C" w:rsidR="0051247B" w:rsidRPr="0051247B" w:rsidRDefault="00064AA4" w:rsidP="00064AA4">
      <w:pPr>
        <w:tabs>
          <w:tab w:val="left" w:pos="1134"/>
        </w:tabs>
        <w:ind w:firstLine="720"/>
        <w:rPr>
          <w:rFonts w:ascii="Times New Roman" w:hAnsi="Times New Roman" w:cs="Times New Roman"/>
          <w:i/>
          <w:iCs/>
          <w:sz w:val="24"/>
          <w:szCs w:val="24"/>
          <w:lang w:val="en-TH"/>
        </w:rPr>
      </w:pPr>
      <w:r>
        <w:rPr>
          <w:rFonts w:ascii="Times New Roman" w:hAnsi="Times New Roman" w:cs="Times New Roman"/>
          <w:i/>
          <w:iCs/>
          <w:sz w:val="24"/>
          <w:szCs w:val="24"/>
          <w:lang w:val="en-TH"/>
        </w:rPr>
        <w:tab/>
      </w:r>
      <w:r w:rsidR="0051247B" w:rsidRPr="0051247B">
        <w:rPr>
          <w:rFonts w:ascii="Times New Roman" w:hAnsi="Times New Roman" w:cs="Times New Roman"/>
          <w:i/>
          <w:iCs/>
          <w:sz w:val="24"/>
          <w:szCs w:val="24"/>
          <w:lang w:val="en-TH"/>
        </w:rPr>
        <w:t>Accentedness of L2 Speech</w:t>
      </w:r>
      <w:r w:rsidR="0051247B" w:rsidRPr="0051247B">
        <w:rPr>
          <w:rFonts w:ascii="Times New Roman" w:hAnsi="Times New Roman" w:cs="Times New Roman"/>
          <w:sz w:val="24"/>
          <w:szCs w:val="24"/>
          <w:lang w:val="en-TH"/>
        </w:rPr>
        <w:t>. Cambridge University Press.</w:t>
      </w:r>
    </w:p>
    <w:p w14:paraId="7D3EFE79" w14:textId="77777777" w:rsidR="00064AA4" w:rsidRDefault="0051247B" w:rsidP="0051247B">
      <w:pPr>
        <w:ind w:left="36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Li, A., &amp; Zhou, X. (2018). A needs analysis of the listening difficulties encountered by </w:t>
      </w:r>
    </w:p>
    <w:p w14:paraId="7DB424BF" w14:textId="4CE4B6A0" w:rsidR="0051247B" w:rsidRPr="0051247B" w:rsidRDefault="0051247B" w:rsidP="00064AA4">
      <w:pPr>
        <w:ind w:left="108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Chinese university students of English in spoken business communication. </w:t>
      </w:r>
      <w:r w:rsidRPr="0051247B">
        <w:rPr>
          <w:rFonts w:ascii="Times New Roman" w:hAnsi="Times New Roman" w:cs="Times New Roman"/>
          <w:i/>
          <w:iCs/>
          <w:sz w:val="24"/>
          <w:szCs w:val="24"/>
          <w:lang w:val="en-TH"/>
        </w:rPr>
        <w:t>English Language Teaching</w:t>
      </w:r>
      <w:r w:rsidRPr="0051247B">
        <w:rPr>
          <w:rFonts w:ascii="Times New Roman" w:hAnsi="Times New Roman" w:cs="Times New Roman"/>
          <w:sz w:val="24"/>
          <w:szCs w:val="24"/>
          <w:lang w:val="en-TH"/>
        </w:rPr>
        <w:t>, 11(8), 58-70.</w:t>
      </w:r>
    </w:p>
    <w:p w14:paraId="7BA62EAC" w14:textId="77777777" w:rsidR="00064AA4" w:rsidRDefault="0051247B" w:rsidP="00064AA4">
      <w:pPr>
        <w:ind w:left="36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Ryan, R. M., &amp; Deci, E. L. (2000). Self-determination theory and the facilitation of </w:t>
      </w:r>
    </w:p>
    <w:p w14:paraId="32D80580" w14:textId="432849DB" w:rsidR="0051247B" w:rsidRPr="0051247B" w:rsidRDefault="0051247B" w:rsidP="00064AA4">
      <w:pPr>
        <w:ind w:left="108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intrinsic motivation, social development, and well-being. </w:t>
      </w:r>
      <w:r w:rsidRPr="0051247B">
        <w:rPr>
          <w:rFonts w:ascii="Times New Roman" w:hAnsi="Times New Roman" w:cs="Times New Roman"/>
          <w:i/>
          <w:iCs/>
          <w:sz w:val="24"/>
          <w:szCs w:val="24"/>
          <w:lang w:val="en-TH"/>
        </w:rPr>
        <w:t>American Psychologist</w:t>
      </w:r>
      <w:r w:rsidRPr="0051247B">
        <w:rPr>
          <w:rFonts w:ascii="Times New Roman" w:hAnsi="Times New Roman" w:cs="Times New Roman"/>
          <w:sz w:val="24"/>
          <w:szCs w:val="24"/>
          <w:lang w:val="en-TH"/>
        </w:rPr>
        <w:t>, 55(1), 68–78.</w:t>
      </w:r>
    </w:p>
    <w:p w14:paraId="21812160" w14:textId="77777777" w:rsidR="00064AA4" w:rsidRDefault="0051247B" w:rsidP="0051247B">
      <w:pPr>
        <w:ind w:left="36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Spratt, M., Humphreys, G., &amp; Chan, V. (2002). Autonomy and motivation: which comes </w:t>
      </w:r>
    </w:p>
    <w:p w14:paraId="2457DB5E" w14:textId="1209EACB" w:rsidR="0051247B" w:rsidRPr="0051247B" w:rsidRDefault="0051247B" w:rsidP="00064AA4">
      <w:pPr>
        <w:ind w:left="1134"/>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first? </w:t>
      </w:r>
      <w:r w:rsidRPr="0051247B">
        <w:rPr>
          <w:rFonts w:ascii="Times New Roman" w:hAnsi="Times New Roman" w:cs="Times New Roman"/>
          <w:i/>
          <w:iCs/>
          <w:sz w:val="24"/>
          <w:szCs w:val="24"/>
          <w:lang w:val="en-TH"/>
        </w:rPr>
        <w:t>Language Teaching Research</w:t>
      </w:r>
      <w:r w:rsidRPr="0051247B">
        <w:rPr>
          <w:rFonts w:ascii="Times New Roman" w:hAnsi="Times New Roman" w:cs="Times New Roman"/>
          <w:sz w:val="24"/>
          <w:szCs w:val="24"/>
          <w:lang w:val="en-TH"/>
        </w:rPr>
        <w:t>, 6 (3), 245-266.</w:t>
      </w:r>
    </w:p>
    <w:p w14:paraId="598763CA" w14:textId="546F0E03" w:rsidR="0051247B" w:rsidRPr="0051247B" w:rsidRDefault="0051247B" w:rsidP="00064AA4">
      <w:pPr>
        <w:tabs>
          <w:tab w:val="left" w:pos="1134"/>
        </w:tabs>
        <w:ind w:left="36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Wu, X., &amp; Wu, D. (2020). Implementing project-based and inquiry-based learning in EFL </w:t>
      </w:r>
      <w:r w:rsidR="00064AA4">
        <w:rPr>
          <w:rFonts w:ascii="Times New Roman" w:hAnsi="Times New Roman" w:cs="Times New Roman"/>
          <w:sz w:val="24"/>
          <w:szCs w:val="24"/>
          <w:lang w:val="en-TH"/>
        </w:rPr>
        <w:tab/>
      </w:r>
      <w:r w:rsidRPr="0051247B">
        <w:rPr>
          <w:rFonts w:ascii="Times New Roman" w:hAnsi="Times New Roman" w:cs="Times New Roman"/>
          <w:sz w:val="24"/>
          <w:szCs w:val="24"/>
          <w:lang w:val="en-TH"/>
        </w:rPr>
        <w:t xml:space="preserve">classrooms. </w:t>
      </w:r>
      <w:r w:rsidRPr="0051247B">
        <w:rPr>
          <w:rFonts w:ascii="Times New Roman" w:hAnsi="Times New Roman" w:cs="Times New Roman"/>
          <w:i/>
          <w:iCs/>
          <w:sz w:val="24"/>
          <w:szCs w:val="24"/>
          <w:lang w:val="en-TH"/>
        </w:rPr>
        <w:t>Theory and Practice in Language Studies</w:t>
      </w:r>
      <w:r w:rsidRPr="0051247B">
        <w:rPr>
          <w:rFonts w:ascii="Times New Roman" w:hAnsi="Times New Roman" w:cs="Times New Roman"/>
          <w:sz w:val="24"/>
          <w:szCs w:val="24"/>
          <w:lang w:val="en-TH"/>
        </w:rPr>
        <w:t>, 10(4), 428-435.</w:t>
      </w:r>
    </w:p>
    <w:p w14:paraId="21E3A100" w14:textId="77777777" w:rsidR="00064AA4" w:rsidRDefault="0051247B" w:rsidP="0051247B">
      <w:pPr>
        <w:ind w:left="36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Yeldrim, Y. (2014). A needs analysis study for the listening-oriented syllabus designing </w:t>
      </w:r>
    </w:p>
    <w:p w14:paraId="3A0C1087" w14:textId="43795CA3" w:rsidR="0051247B" w:rsidRPr="0051247B" w:rsidRDefault="0051247B" w:rsidP="00064AA4">
      <w:pPr>
        <w:ind w:left="1134"/>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of international business people working in multicultural companies. </w:t>
      </w:r>
      <w:r w:rsidRPr="0051247B">
        <w:rPr>
          <w:rFonts w:ascii="Times New Roman" w:hAnsi="Times New Roman" w:cs="Times New Roman"/>
          <w:i/>
          <w:iCs/>
          <w:sz w:val="24"/>
          <w:szCs w:val="24"/>
          <w:lang w:val="en-TH"/>
        </w:rPr>
        <w:t>Education and Science</w:t>
      </w:r>
      <w:r w:rsidRPr="0051247B">
        <w:rPr>
          <w:rFonts w:ascii="Times New Roman" w:hAnsi="Times New Roman" w:cs="Times New Roman"/>
          <w:sz w:val="24"/>
          <w:szCs w:val="24"/>
          <w:lang w:val="en-TH"/>
        </w:rPr>
        <w:t>, 39(173).</w:t>
      </w:r>
    </w:p>
    <w:p w14:paraId="07B60438" w14:textId="77777777" w:rsidR="00064AA4" w:rsidRDefault="0051247B" w:rsidP="0051247B">
      <w:pPr>
        <w:ind w:left="36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Yin, R. K. (2018). </w:t>
      </w:r>
      <w:r w:rsidRPr="0051247B">
        <w:rPr>
          <w:rFonts w:ascii="Times New Roman" w:hAnsi="Times New Roman" w:cs="Times New Roman"/>
          <w:i/>
          <w:iCs/>
          <w:sz w:val="24"/>
          <w:szCs w:val="24"/>
          <w:lang w:val="en-TH"/>
        </w:rPr>
        <w:t>Case study research and applications: Design and methods</w:t>
      </w:r>
      <w:r w:rsidRPr="0051247B">
        <w:rPr>
          <w:rFonts w:ascii="Times New Roman" w:hAnsi="Times New Roman" w:cs="Times New Roman"/>
          <w:sz w:val="24"/>
          <w:szCs w:val="24"/>
          <w:lang w:val="en-TH"/>
        </w:rPr>
        <w:t xml:space="preserve"> (6th ed.). </w:t>
      </w:r>
    </w:p>
    <w:p w14:paraId="7BE2E434" w14:textId="1DFCD64D" w:rsidR="0051247B" w:rsidRPr="0051247B" w:rsidRDefault="0051247B" w:rsidP="00064AA4">
      <w:pPr>
        <w:ind w:left="1134"/>
        <w:rPr>
          <w:rFonts w:ascii="Times New Roman" w:hAnsi="Times New Roman" w:cs="Times New Roman"/>
          <w:sz w:val="24"/>
          <w:szCs w:val="24"/>
          <w:lang w:val="en-TH"/>
        </w:rPr>
      </w:pPr>
      <w:r w:rsidRPr="0051247B">
        <w:rPr>
          <w:rFonts w:ascii="Times New Roman" w:hAnsi="Times New Roman" w:cs="Times New Roman"/>
          <w:sz w:val="24"/>
          <w:szCs w:val="24"/>
          <w:lang w:val="en-TH"/>
        </w:rPr>
        <w:t>SAGE Publications.</w:t>
      </w:r>
    </w:p>
    <w:p w14:paraId="3F72189F" w14:textId="77777777" w:rsidR="00064AA4" w:rsidRDefault="0051247B" w:rsidP="0051247B">
      <w:pPr>
        <w:ind w:left="360"/>
        <w:rPr>
          <w:rFonts w:ascii="Times New Roman" w:hAnsi="Times New Roman" w:cs="Times New Roman"/>
          <w:sz w:val="24"/>
          <w:szCs w:val="24"/>
          <w:lang w:val="en-TH"/>
        </w:rPr>
      </w:pPr>
      <w:r w:rsidRPr="0051247B">
        <w:rPr>
          <w:rFonts w:ascii="Times New Roman" w:hAnsi="Times New Roman" w:cs="Times New Roman"/>
          <w:sz w:val="24"/>
          <w:szCs w:val="24"/>
          <w:lang w:val="en-TH"/>
        </w:rPr>
        <w:t xml:space="preserve">Zimmerman, B. J. (2000). Attaining self-regulation: A social cognitive perspective. In </w:t>
      </w:r>
    </w:p>
    <w:p w14:paraId="4A59A4F0" w14:textId="71E0282C" w:rsidR="0051247B" w:rsidRPr="0051247B" w:rsidRDefault="0051247B" w:rsidP="00064AA4">
      <w:pPr>
        <w:ind w:left="1080"/>
        <w:rPr>
          <w:rFonts w:ascii="Times New Roman" w:hAnsi="Times New Roman" w:cs="Times New Roman"/>
          <w:sz w:val="24"/>
          <w:szCs w:val="24"/>
          <w:lang w:val="en-TH"/>
        </w:rPr>
      </w:pPr>
      <w:r w:rsidRPr="0051247B">
        <w:rPr>
          <w:rFonts w:ascii="Times New Roman" w:hAnsi="Times New Roman" w:cs="Times New Roman"/>
          <w:i/>
          <w:iCs/>
          <w:sz w:val="24"/>
          <w:szCs w:val="24"/>
          <w:lang w:val="en-TH"/>
        </w:rPr>
        <w:t>Handbook of self-regulation</w:t>
      </w:r>
      <w:r w:rsidRPr="0051247B">
        <w:rPr>
          <w:rFonts w:ascii="Times New Roman" w:hAnsi="Times New Roman" w:cs="Times New Roman"/>
          <w:sz w:val="24"/>
          <w:szCs w:val="24"/>
          <w:lang w:val="en-TH"/>
        </w:rPr>
        <w:t xml:space="preserve"> (pp. 13-39). Academic Press.</w:t>
      </w:r>
    </w:p>
    <w:p w14:paraId="5A025134" w14:textId="77777777" w:rsidR="00EB4A20" w:rsidRPr="000B3893" w:rsidRDefault="00EB4A20" w:rsidP="00EB4A20">
      <w:pPr>
        <w:jc w:val="thaiDistribute"/>
        <w:rPr>
          <w:rFonts w:ascii="TH SarabunPSK" w:hAnsi="TH SarabunPSK" w:cs="TH SarabunPSK"/>
          <w:sz w:val="32"/>
          <w:szCs w:val="32"/>
          <w:cs/>
        </w:rPr>
      </w:pPr>
    </w:p>
    <w:sectPr w:rsidR="00EB4A20" w:rsidRPr="000B3893" w:rsidSect="00372F25">
      <w:headerReference w:type="default" r:id="rId9"/>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0156" w14:textId="77777777" w:rsidR="00372F25" w:rsidRDefault="00372F25" w:rsidP="00F64AB8">
      <w:r>
        <w:separator/>
      </w:r>
    </w:p>
  </w:endnote>
  <w:endnote w:type="continuationSeparator" w:id="0">
    <w:p w14:paraId="1544E372" w14:textId="77777777" w:rsidR="00372F25" w:rsidRDefault="00372F25" w:rsidP="00F6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H SarabunPSK">
    <w:panose1 w:val="020B0500040200020003"/>
    <w:charset w:val="00"/>
    <w:family w:val="swiss"/>
    <w:pitch w:val="variable"/>
    <w:sig w:usb0="A100006F" w:usb1="5000205A" w:usb2="00000000" w:usb3="00000000" w:csb0="00010193" w:csb1="00000000"/>
  </w:font>
  <w:font w:name="MS Mincho">
    <w:altName w:val="ＭＳ 明朝"/>
    <w:panose1 w:val="02020609040205080304"/>
    <w:charset w:val="80"/>
    <w:family w:val="modern"/>
    <w:pitch w:val="fixed"/>
    <w:sig w:usb0="E00002FF" w:usb1="6AC7FDFB" w:usb2="08000012" w:usb3="00000000" w:csb0="0002009F" w:csb1="00000000"/>
  </w:font>
  <w:font w:name="TH Sarabun New">
    <w:altName w:val="Browallia New"/>
    <w:panose1 w:val="020B0604020202020204"/>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E4CD" w14:textId="6C785B94" w:rsidR="00BE374A" w:rsidRPr="002918DF" w:rsidRDefault="00BE374A" w:rsidP="00B65843">
    <w:pPr>
      <w:pStyle w:val="Footer"/>
      <w:jc w:val="center"/>
      <w:rPr>
        <w:rFonts w:ascii="Times New Roman" w:eastAsia="Times New Roman" w:hAnsi="Times New Roman" w:cs="Times New Roman"/>
        <w:sz w:val="18"/>
        <w:szCs w:val="18"/>
        <w:lang w:bidi="ar-SA"/>
      </w:rPr>
    </w:pPr>
    <w:bookmarkStart w:id="2" w:name="_Hlk111034590"/>
    <w:bookmarkStart w:id="3" w:name="_Hlk111034591"/>
    <w:bookmarkStart w:id="4" w:name="_Hlk111034592"/>
    <w:bookmarkStart w:id="5" w:name="_Hlk111034593"/>
    <w:r w:rsidRPr="00BE374A">
      <w:rPr>
        <w:rFonts w:ascii="Calibri" w:eastAsia="Calibri" w:hAnsi="Calibri"/>
        <w:sz w:val="22"/>
        <w:szCs w:val="22"/>
        <w:lang w:bidi="ar-SA"/>
      </w:rPr>
      <w:t>|</w:t>
    </w:r>
    <w:r w:rsidRPr="002918DF">
      <w:rPr>
        <w:rFonts w:ascii="Times New Roman" w:eastAsia="Times New Roman" w:hAnsi="Times New Roman" w:cs="Times New Roman"/>
        <w:sz w:val="18"/>
        <w:szCs w:val="18"/>
        <w:lang w:bidi="ar-SA"/>
      </w:rPr>
      <w:t xml:space="preserve">Proceedings of </w:t>
    </w:r>
    <w:r w:rsidR="002918DF">
      <w:rPr>
        <w:rFonts w:ascii="Times New Roman" w:eastAsia="Times New Roman" w:hAnsi="Times New Roman" w:cs="Times New Roman"/>
        <w:sz w:val="18"/>
        <w:szCs w:val="18"/>
        <w:lang w:bidi="ar-SA"/>
      </w:rPr>
      <w:t>1</w:t>
    </w:r>
    <w:r w:rsidR="00AB1769">
      <w:rPr>
        <w:rFonts w:ascii="Times New Roman" w:eastAsia="Times New Roman" w:hAnsi="Times New Roman" w:cs="Times New Roman"/>
        <w:sz w:val="18"/>
        <w:szCs w:val="18"/>
        <w:lang w:bidi="ar-SA"/>
      </w:rPr>
      <w:t>6</w:t>
    </w:r>
    <w:r w:rsidRPr="002918DF">
      <w:rPr>
        <w:rFonts w:ascii="Times New Roman" w:eastAsia="Times New Roman" w:hAnsi="Times New Roman" w:cs="Times New Roman"/>
        <w:sz w:val="18"/>
        <w:szCs w:val="18"/>
        <w:vertAlign w:val="superscript"/>
        <w:lang w:bidi="ar-SA"/>
      </w:rPr>
      <w:t>th</w:t>
    </w:r>
    <w:r w:rsidRPr="002918DF">
      <w:rPr>
        <w:rFonts w:ascii="Times New Roman" w:eastAsia="Times New Roman" w:hAnsi="Times New Roman" w:cs="Times New Roman"/>
        <w:sz w:val="18"/>
        <w:szCs w:val="18"/>
        <w:lang w:bidi="ar-SA"/>
      </w:rPr>
      <w:t xml:space="preserve"> </w:t>
    </w:r>
    <w:r w:rsidR="00AB1769" w:rsidRPr="00AB1769">
      <w:rPr>
        <w:rFonts w:ascii="Times New Roman" w:eastAsia="Times New Roman" w:hAnsi="Times New Roman" w:cs="Times New Roman"/>
        <w:sz w:val="18"/>
        <w:szCs w:val="18"/>
        <w:lang w:bidi="ar-SA"/>
      </w:rPr>
      <w:t>National and International Academic-Research Network Conference in Humanities and Social Sciences</w:t>
    </w:r>
  </w:p>
  <w:p w14:paraId="2E0819E3" w14:textId="77777777" w:rsidR="00AB1769" w:rsidRDefault="00B65843" w:rsidP="00B65843">
    <w:pPr>
      <w:pStyle w:val="Footer"/>
      <w:jc w:val="center"/>
      <w:rPr>
        <w:rFonts w:ascii="Times New Roman" w:eastAsia="Times New Roman" w:hAnsi="Times New Roman" w:cs="Times New Roman"/>
        <w:sz w:val="18"/>
        <w:szCs w:val="18"/>
        <w:lang w:bidi="ar-SA"/>
      </w:rPr>
    </w:pPr>
    <w:r w:rsidRPr="00B65843">
      <w:rPr>
        <w:rFonts w:ascii="Times New Roman" w:eastAsia="Times New Roman" w:hAnsi="Times New Roman" w:cs="Times New Roman"/>
        <w:sz w:val="18"/>
        <w:szCs w:val="18"/>
        <w:lang w:bidi="ar-SA"/>
      </w:rPr>
      <w:t>“</w:t>
    </w:r>
    <w:r w:rsidR="00AB1769" w:rsidRPr="00AB1769">
      <w:rPr>
        <w:rFonts w:ascii="Times New Roman" w:eastAsia="Times New Roman" w:hAnsi="Times New Roman" w:cs="Times New Roman"/>
        <w:sz w:val="18"/>
        <w:szCs w:val="18"/>
        <w:lang w:bidi="ar-SA"/>
      </w:rPr>
      <w:t xml:space="preserve">Internalization of Interdisciplinary Knowledge of Humanities and Social Sciences </w:t>
    </w:r>
  </w:p>
  <w:p w14:paraId="7F8B7A83" w14:textId="35703E05" w:rsidR="0071366D" w:rsidRDefault="00AB1769" w:rsidP="00B65843">
    <w:pPr>
      <w:pStyle w:val="Footer"/>
      <w:jc w:val="center"/>
      <w:rPr>
        <w:rFonts w:ascii="Times New Roman" w:eastAsia="Times New Roman" w:hAnsi="Times New Roman" w:cs="Times New Roman"/>
        <w:sz w:val="18"/>
        <w:szCs w:val="18"/>
        <w:lang w:bidi="ar-SA"/>
      </w:rPr>
    </w:pPr>
    <w:r w:rsidRPr="00AB1769">
      <w:rPr>
        <w:rFonts w:ascii="Times New Roman" w:eastAsia="Times New Roman" w:hAnsi="Times New Roman" w:cs="Times New Roman"/>
        <w:sz w:val="18"/>
        <w:szCs w:val="18"/>
        <w:lang w:bidi="ar-SA"/>
      </w:rPr>
      <w:t>in the Digital Age for Sustainable Development</w:t>
    </w:r>
    <w:r w:rsidR="00B65843" w:rsidRPr="00B65843">
      <w:rPr>
        <w:rFonts w:ascii="Times New Roman" w:eastAsia="Times New Roman" w:hAnsi="Times New Roman" w:cs="Times New Roman"/>
        <w:sz w:val="18"/>
        <w:szCs w:val="18"/>
        <w:lang w:bidi="ar-SA"/>
      </w:rPr>
      <w:t xml:space="preserve">” </w:t>
    </w:r>
  </w:p>
  <w:p w14:paraId="5E89125B" w14:textId="06BFCDF3" w:rsidR="00EC3D09" w:rsidRPr="002918DF" w:rsidRDefault="00B65843" w:rsidP="00B65843">
    <w:pPr>
      <w:pStyle w:val="Footer"/>
      <w:jc w:val="center"/>
      <w:rPr>
        <w:rFonts w:ascii="Times New Roman" w:hAnsi="Times New Roman" w:cs="Times New Roman"/>
        <w:sz w:val="18"/>
        <w:szCs w:val="18"/>
      </w:rPr>
    </w:pPr>
    <w:r w:rsidRPr="00B65843">
      <w:rPr>
        <w:rFonts w:ascii="Times New Roman" w:eastAsia="Times New Roman" w:hAnsi="Times New Roman" w:cs="Times New Roman"/>
        <w:sz w:val="18"/>
        <w:szCs w:val="18"/>
        <w:lang w:bidi="ar-SA"/>
      </w:rPr>
      <w:t>1</w:t>
    </w:r>
    <w:r w:rsidR="00AB1769">
      <w:rPr>
        <w:rFonts w:ascii="Times New Roman" w:eastAsia="Times New Roman" w:hAnsi="Times New Roman" w:cs="Times New Roman"/>
        <w:sz w:val="18"/>
        <w:szCs w:val="18"/>
        <w:lang w:bidi="ar-SA"/>
      </w:rPr>
      <w:t>7</w:t>
    </w:r>
    <w:r w:rsidRPr="00B65843">
      <w:rPr>
        <w:rFonts w:ascii="Times New Roman" w:eastAsia="Times New Roman" w:hAnsi="Times New Roman" w:cs="Times New Roman"/>
        <w:sz w:val="18"/>
        <w:szCs w:val="18"/>
        <w:lang w:bidi="ar-SA"/>
      </w:rPr>
      <w:t xml:space="preserve">th </w:t>
    </w:r>
    <w:r w:rsidR="00AB1769">
      <w:rPr>
        <w:rFonts w:ascii="Times New Roman" w:eastAsia="Times New Roman" w:hAnsi="Times New Roman" w:cs="Times New Roman"/>
        <w:sz w:val="18"/>
        <w:szCs w:val="18"/>
        <w:lang w:bidi="ar-SA"/>
      </w:rPr>
      <w:t>May</w:t>
    </w:r>
    <w:r w:rsidRPr="00B65843">
      <w:rPr>
        <w:rFonts w:ascii="Times New Roman" w:eastAsia="Times New Roman" w:hAnsi="Times New Roman" w:cs="Times New Roman"/>
        <w:sz w:val="18"/>
        <w:szCs w:val="18"/>
        <w:lang w:bidi="ar-SA"/>
      </w:rPr>
      <w:t xml:space="preserve"> 202</w:t>
    </w:r>
    <w:bookmarkEnd w:id="2"/>
    <w:bookmarkEnd w:id="3"/>
    <w:bookmarkEnd w:id="4"/>
    <w:bookmarkEnd w:id="5"/>
    <w:r w:rsidR="00AB1769">
      <w:rPr>
        <w:rFonts w:ascii="Times New Roman" w:eastAsia="Times New Roman" w:hAnsi="Times New Roman" w:cs="Times New Roman"/>
        <w:sz w:val="18"/>
        <w:szCs w:val="18"/>
        <w:lang w:bidi="ar-S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7302" w14:textId="77777777" w:rsidR="00372F25" w:rsidRDefault="00372F25" w:rsidP="00F64AB8">
      <w:r>
        <w:separator/>
      </w:r>
    </w:p>
  </w:footnote>
  <w:footnote w:type="continuationSeparator" w:id="0">
    <w:p w14:paraId="4E905372" w14:textId="77777777" w:rsidR="00372F25" w:rsidRDefault="00372F25" w:rsidP="00F6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492339"/>
      <w:docPartObj>
        <w:docPartGallery w:val="Page Numbers (Top of Page)"/>
        <w:docPartUnique/>
      </w:docPartObj>
    </w:sdtPr>
    <w:sdtEndPr>
      <w:rPr>
        <w:noProof/>
      </w:rPr>
    </w:sdtEndPr>
    <w:sdtContent>
      <w:p w14:paraId="664FA65F" w14:textId="3570462A" w:rsidR="00385FAF" w:rsidRDefault="00385FA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861EF7" w14:textId="77777777" w:rsidR="006A204C" w:rsidRPr="00A317AA" w:rsidRDefault="006A204C" w:rsidP="00A317AA">
    <w:pPr>
      <w:pStyle w:val="Header"/>
      <w:jc w:val="right"/>
      <w:rPr>
        <w:rFonts w:ascii="TH Sarabun New" w:hAnsi="TH Sarabun New" w:cs="TH Sarabun New"/>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DBE"/>
    <w:multiLevelType w:val="multilevel"/>
    <w:tmpl w:val="C0761D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2B35D3"/>
    <w:multiLevelType w:val="multilevel"/>
    <w:tmpl w:val="1BDE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4A42"/>
    <w:multiLevelType w:val="multilevel"/>
    <w:tmpl w:val="FA18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A119E"/>
    <w:multiLevelType w:val="multilevel"/>
    <w:tmpl w:val="9B209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960F6"/>
    <w:multiLevelType w:val="multilevel"/>
    <w:tmpl w:val="26F4D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D1872"/>
    <w:multiLevelType w:val="multilevel"/>
    <w:tmpl w:val="08F03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B5649"/>
    <w:multiLevelType w:val="multilevel"/>
    <w:tmpl w:val="D836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76079"/>
    <w:multiLevelType w:val="hybridMultilevel"/>
    <w:tmpl w:val="9F54D7B2"/>
    <w:lvl w:ilvl="0" w:tplc="2E7E114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B166BC8"/>
    <w:multiLevelType w:val="multilevel"/>
    <w:tmpl w:val="49E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D17B9"/>
    <w:multiLevelType w:val="hybridMultilevel"/>
    <w:tmpl w:val="EC4E2CB8"/>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3BB54802"/>
    <w:multiLevelType w:val="multilevel"/>
    <w:tmpl w:val="63E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77CFE"/>
    <w:multiLevelType w:val="hybridMultilevel"/>
    <w:tmpl w:val="B2121012"/>
    <w:lvl w:ilvl="0" w:tplc="C3FAC746">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3BE6CD6"/>
    <w:multiLevelType w:val="multilevel"/>
    <w:tmpl w:val="4DB8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135D4"/>
    <w:multiLevelType w:val="multilevel"/>
    <w:tmpl w:val="9B9C19A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55C82512"/>
    <w:multiLevelType w:val="multilevel"/>
    <w:tmpl w:val="9B209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CE3271"/>
    <w:multiLevelType w:val="multilevel"/>
    <w:tmpl w:val="991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82252"/>
    <w:multiLevelType w:val="multilevel"/>
    <w:tmpl w:val="CBD4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653DF5"/>
    <w:multiLevelType w:val="multilevel"/>
    <w:tmpl w:val="60B4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5701C"/>
    <w:multiLevelType w:val="multilevel"/>
    <w:tmpl w:val="58D0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0C77B6"/>
    <w:multiLevelType w:val="multilevel"/>
    <w:tmpl w:val="14F0BCA4"/>
    <w:lvl w:ilvl="0">
      <w:start w:val="1"/>
      <w:numFmt w:val="decimal"/>
      <w:lvlText w:val="%1."/>
      <w:lvlJc w:val="left"/>
      <w:pPr>
        <w:ind w:left="720" w:hanging="360"/>
      </w:pPr>
      <w:rPr>
        <w:b/>
        <w:bCs/>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7F8E3832"/>
    <w:multiLevelType w:val="multilevel"/>
    <w:tmpl w:val="2C22A28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393549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671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411567">
    <w:abstractNumId w:val="7"/>
  </w:num>
  <w:num w:numId="4" w16cid:durableId="2076778682">
    <w:abstractNumId w:val="7"/>
  </w:num>
  <w:num w:numId="5" w16cid:durableId="800614795">
    <w:abstractNumId w:val="9"/>
  </w:num>
  <w:num w:numId="6" w16cid:durableId="1729260436">
    <w:abstractNumId w:val="16"/>
  </w:num>
  <w:num w:numId="7" w16cid:durableId="160201940">
    <w:abstractNumId w:val="14"/>
  </w:num>
  <w:num w:numId="8" w16cid:durableId="1191727432">
    <w:abstractNumId w:val="3"/>
  </w:num>
  <w:num w:numId="9" w16cid:durableId="191724036">
    <w:abstractNumId w:val="0"/>
  </w:num>
  <w:num w:numId="10" w16cid:durableId="1037124839">
    <w:abstractNumId w:val="18"/>
  </w:num>
  <w:num w:numId="11" w16cid:durableId="201019840">
    <w:abstractNumId w:val="13"/>
  </w:num>
  <w:num w:numId="12" w16cid:durableId="1067190183">
    <w:abstractNumId w:val="20"/>
  </w:num>
  <w:num w:numId="13" w16cid:durableId="462962169">
    <w:abstractNumId w:val="5"/>
  </w:num>
  <w:num w:numId="14" w16cid:durableId="1334840284">
    <w:abstractNumId w:val="10"/>
  </w:num>
  <w:num w:numId="15" w16cid:durableId="689450727">
    <w:abstractNumId w:val="2"/>
  </w:num>
  <w:num w:numId="16" w16cid:durableId="1819417466">
    <w:abstractNumId w:val="4"/>
  </w:num>
  <w:num w:numId="17" w16cid:durableId="2105874711">
    <w:abstractNumId w:val="8"/>
  </w:num>
  <w:num w:numId="18" w16cid:durableId="2123184609">
    <w:abstractNumId w:val="6"/>
  </w:num>
  <w:num w:numId="19" w16cid:durableId="1611863253">
    <w:abstractNumId w:val="12"/>
  </w:num>
  <w:num w:numId="20" w16cid:durableId="610937020">
    <w:abstractNumId w:val="17"/>
  </w:num>
  <w:num w:numId="21" w16cid:durableId="62721333">
    <w:abstractNumId w:val="15"/>
  </w:num>
  <w:num w:numId="22" w16cid:durableId="151094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29"/>
    <w:rsid w:val="000032BF"/>
    <w:rsid w:val="000435AA"/>
    <w:rsid w:val="00044420"/>
    <w:rsid w:val="00061A4E"/>
    <w:rsid w:val="00064AA4"/>
    <w:rsid w:val="00067F9A"/>
    <w:rsid w:val="00092CB5"/>
    <w:rsid w:val="000A37B6"/>
    <w:rsid w:val="000A4C7F"/>
    <w:rsid w:val="000B4AF8"/>
    <w:rsid w:val="000C47F2"/>
    <w:rsid w:val="001055A3"/>
    <w:rsid w:val="00126074"/>
    <w:rsid w:val="00127EFD"/>
    <w:rsid w:val="001525DC"/>
    <w:rsid w:val="00157828"/>
    <w:rsid w:val="00175A19"/>
    <w:rsid w:val="00182A64"/>
    <w:rsid w:val="00185147"/>
    <w:rsid w:val="00186946"/>
    <w:rsid w:val="001A27C2"/>
    <w:rsid w:val="001D6951"/>
    <w:rsid w:val="001D7C6E"/>
    <w:rsid w:val="00205D68"/>
    <w:rsid w:val="002079B4"/>
    <w:rsid w:val="00241D23"/>
    <w:rsid w:val="002447A4"/>
    <w:rsid w:val="00263135"/>
    <w:rsid w:val="00276AFB"/>
    <w:rsid w:val="002918DF"/>
    <w:rsid w:val="002A3BB8"/>
    <w:rsid w:val="002A57C5"/>
    <w:rsid w:val="002A5E1C"/>
    <w:rsid w:val="002C62A7"/>
    <w:rsid w:val="002F6CA4"/>
    <w:rsid w:val="003003A6"/>
    <w:rsid w:val="00305E6C"/>
    <w:rsid w:val="00323EB8"/>
    <w:rsid w:val="00333800"/>
    <w:rsid w:val="0035002A"/>
    <w:rsid w:val="00352EAF"/>
    <w:rsid w:val="00365EC3"/>
    <w:rsid w:val="003708BF"/>
    <w:rsid w:val="00372F25"/>
    <w:rsid w:val="00385FAF"/>
    <w:rsid w:val="003B49E2"/>
    <w:rsid w:val="003B6C4E"/>
    <w:rsid w:val="003D3FBD"/>
    <w:rsid w:val="003F387A"/>
    <w:rsid w:val="00404267"/>
    <w:rsid w:val="00453FED"/>
    <w:rsid w:val="004550EB"/>
    <w:rsid w:val="004936E3"/>
    <w:rsid w:val="004B6566"/>
    <w:rsid w:val="004D762B"/>
    <w:rsid w:val="004F5893"/>
    <w:rsid w:val="00503A08"/>
    <w:rsid w:val="0051247B"/>
    <w:rsid w:val="005155A6"/>
    <w:rsid w:val="005365D2"/>
    <w:rsid w:val="00540ED2"/>
    <w:rsid w:val="0055367C"/>
    <w:rsid w:val="005628C7"/>
    <w:rsid w:val="0058271F"/>
    <w:rsid w:val="00593101"/>
    <w:rsid w:val="005C3145"/>
    <w:rsid w:val="005D6AA3"/>
    <w:rsid w:val="005F1642"/>
    <w:rsid w:val="0060786D"/>
    <w:rsid w:val="00624D2A"/>
    <w:rsid w:val="00626F5B"/>
    <w:rsid w:val="00630DA2"/>
    <w:rsid w:val="00634619"/>
    <w:rsid w:val="00642AE3"/>
    <w:rsid w:val="00644CFE"/>
    <w:rsid w:val="00683814"/>
    <w:rsid w:val="0069585A"/>
    <w:rsid w:val="006A204C"/>
    <w:rsid w:val="006A6C24"/>
    <w:rsid w:val="006B5B26"/>
    <w:rsid w:val="006C244D"/>
    <w:rsid w:val="006E2D7D"/>
    <w:rsid w:val="007037AF"/>
    <w:rsid w:val="0071366D"/>
    <w:rsid w:val="00733178"/>
    <w:rsid w:val="007361F1"/>
    <w:rsid w:val="0073645E"/>
    <w:rsid w:val="00740ECD"/>
    <w:rsid w:val="00743A95"/>
    <w:rsid w:val="007460D9"/>
    <w:rsid w:val="00754FD3"/>
    <w:rsid w:val="007569E6"/>
    <w:rsid w:val="00775C27"/>
    <w:rsid w:val="007A4E2F"/>
    <w:rsid w:val="007D10D4"/>
    <w:rsid w:val="007E42B3"/>
    <w:rsid w:val="007F57A9"/>
    <w:rsid w:val="0080636E"/>
    <w:rsid w:val="00816F15"/>
    <w:rsid w:val="00817E5B"/>
    <w:rsid w:val="00832733"/>
    <w:rsid w:val="00857119"/>
    <w:rsid w:val="008701CF"/>
    <w:rsid w:val="0088287B"/>
    <w:rsid w:val="008913BE"/>
    <w:rsid w:val="008C3E36"/>
    <w:rsid w:val="008F2291"/>
    <w:rsid w:val="008F3200"/>
    <w:rsid w:val="008F49A6"/>
    <w:rsid w:val="008F68C5"/>
    <w:rsid w:val="008F76DD"/>
    <w:rsid w:val="00906F7C"/>
    <w:rsid w:val="00914300"/>
    <w:rsid w:val="009232D8"/>
    <w:rsid w:val="009251EB"/>
    <w:rsid w:val="00925E1D"/>
    <w:rsid w:val="00943BDA"/>
    <w:rsid w:val="009659EE"/>
    <w:rsid w:val="009773AB"/>
    <w:rsid w:val="009920F3"/>
    <w:rsid w:val="00996364"/>
    <w:rsid w:val="009A2596"/>
    <w:rsid w:val="009A41ED"/>
    <w:rsid w:val="009A7C67"/>
    <w:rsid w:val="009B1951"/>
    <w:rsid w:val="009B6D73"/>
    <w:rsid w:val="009C0F0B"/>
    <w:rsid w:val="00A2160D"/>
    <w:rsid w:val="00A317AA"/>
    <w:rsid w:val="00A31C68"/>
    <w:rsid w:val="00AB1769"/>
    <w:rsid w:val="00AB4B11"/>
    <w:rsid w:val="00AE28BD"/>
    <w:rsid w:val="00B15419"/>
    <w:rsid w:val="00B15CE1"/>
    <w:rsid w:val="00B203E7"/>
    <w:rsid w:val="00B65843"/>
    <w:rsid w:val="00B76A00"/>
    <w:rsid w:val="00B80560"/>
    <w:rsid w:val="00B87A29"/>
    <w:rsid w:val="00BA6651"/>
    <w:rsid w:val="00BB4CFB"/>
    <w:rsid w:val="00BC5A6D"/>
    <w:rsid w:val="00BC6E1C"/>
    <w:rsid w:val="00BD2175"/>
    <w:rsid w:val="00BE0DD5"/>
    <w:rsid w:val="00BE374A"/>
    <w:rsid w:val="00C05072"/>
    <w:rsid w:val="00C2535D"/>
    <w:rsid w:val="00C3551A"/>
    <w:rsid w:val="00C43363"/>
    <w:rsid w:val="00C47651"/>
    <w:rsid w:val="00C54860"/>
    <w:rsid w:val="00C61249"/>
    <w:rsid w:val="00C70065"/>
    <w:rsid w:val="00C739B4"/>
    <w:rsid w:val="00C870FB"/>
    <w:rsid w:val="00C9777B"/>
    <w:rsid w:val="00CB50C3"/>
    <w:rsid w:val="00D0018E"/>
    <w:rsid w:val="00D01336"/>
    <w:rsid w:val="00D02FC9"/>
    <w:rsid w:val="00D25047"/>
    <w:rsid w:val="00D7302A"/>
    <w:rsid w:val="00D778D2"/>
    <w:rsid w:val="00D87700"/>
    <w:rsid w:val="00DA1D9B"/>
    <w:rsid w:val="00DB0DCD"/>
    <w:rsid w:val="00DC19BE"/>
    <w:rsid w:val="00DC3086"/>
    <w:rsid w:val="00DC4098"/>
    <w:rsid w:val="00DC5D06"/>
    <w:rsid w:val="00DD4B4E"/>
    <w:rsid w:val="00DD4F40"/>
    <w:rsid w:val="00DF4E62"/>
    <w:rsid w:val="00E0569E"/>
    <w:rsid w:val="00E20052"/>
    <w:rsid w:val="00E26416"/>
    <w:rsid w:val="00E4156D"/>
    <w:rsid w:val="00E41FA4"/>
    <w:rsid w:val="00E44FF4"/>
    <w:rsid w:val="00E52C39"/>
    <w:rsid w:val="00E67DC2"/>
    <w:rsid w:val="00E71EE2"/>
    <w:rsid w:val="00E945DE"/>
    <w:rsid w:val="00E97519"/>
    <w:rsid w:val="00EB4A20"/>
    <w:rsid w:val="00EB74BD"/>
    <w:rsid w:val="00EC1234"/>
    <w:rsid w:val="00EC3D09"/>
    <w:rsid w:val="00EC7A65"/>
    <w:rsid w:val="00EC7FF8"/>
    <w:rsid w:val="00EE19B6"/>
    <w:rsid w:val="00EF3315"/>
    <w:rsid w:val="00F07027"/>
    <w:rsid w:val="00F117DE"/>
    <w:rsid w:val="00F5062F"/>
    <w:rsid w:val="00F64AB8"/>
    <w:rsid w:val="00F712A2"/>
    <w:rsid w:val="00F809B5"/>
    <w:rsid w:val="00F82429"/>
    <w:rsid w:val="00FC220A"/>
    <w:rsid w:val="00FC28FD"/>
    <w:rsid w:val="00FC4270"/>
    <w:rsid w:val="00FC6F40"/>
    <w:rsid w:val="00FD6C69"/>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DFE61"/>
  <w15:chartTrackingRefBased/>
  <w15:docId w15:val="{9CAFA66E-7191-46BB-B1D8-A13BB28A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A29"/>
    <w:rPr>
      <w:rFonts w:ascii="Cordia New" w:eastAsia="Cordia New" w:hAnsi="Cordia New" w:cs="Cordia New"/>
      <w:sz w:val="28"/>
      <w:szCs w:val="28"/>
    </w:rPr>
  </w:style>
  <w:style w:type="paragraph" w:styleId="Heading2">
    <w:name w:val="heading 2"/>
    <w:basedOn w:val="Normal"/>
    <w:next w:val="Normal"/>
    <w:link w:val="Heading2Char"/>
    <w:semiHidden/>
    <w:unhideWhenUsed/>
    <w:qFormat/>
    <w:rsid w:val="00EB4A20"/>
    <w:pPr>
      <w:keepNext/>
      <w:keepLines/>
      <w:spacing w:before="40"/>
      <w:outlineLvl w:val="1"/>
    </w:pPr>
    <w:rPr>
      <w:rFonts w:asciiTheme="majorHAnsi" w:eastAsiaTheme="majorEastAsia" w:hAnsiTheme="majorHAnsi" w:cstheme="majorBidi"/>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786D"/>
    <w:rPr>
      <w:rFonts w:ascii="Tahoma" w:hAnsi="Tahoma" w:cs="Tahoma"/>
      <w:sz w:val="16"/>
      <w:szCs w:val="16"/>
    </w:rPr>
  </w:style>
  <w:style w:type="paragraph" w:styleId="Header">
    <w:name w:val="header"/>
    <w:basedOn w:val="Normal"/>
    <w:link w:val="HeaderChar"/>
    <w:uiPriority w:val="99"/>
    <w:rsid w:val="00F64AB8"/>
    <w:pPr>
      <w:tabs>
        <w:tab w:val="center" w:pos="4153"/>
        <w:tab w:val="right" w:pos="8306"/>
      </w:tabs>
    </w:pPr>
    <w:rPr>
      <w:szCs w:val="32"/>
    </w:rPr>
  </w:style>
  <w:style w:type="character" w:styleId="PageNumber">
    <w:name w:val="page number"/>
    <w:basedOn w:val="DefaultParagraphFont"/>
    <w:rsid w:val="00F64AB8"/>
  </w:style>
  <w:style w:type="paragraph" w:styleId="Footer">
    <w:name w:val="footer"/>
    <w:basedOn w:val="Normal"/>
    <w:link w:val="FooterChar"/>
    <w:uiPriority w:val="99"/>
    <w:rsid w:val="00F64AB8"/>
    <w:pPr>
      <w:tabs>
        <w:tab w:val="center" w:pos="4153"/>
        <w:tab w:val="right" w:pos="8306"/>
      </w:tabs>
    </w:pPr>
    <w:rPr>
      <w:szCs w:val="32"/>
    </w:rPr>
  </w:style>
  <w:style w:type="character" w:customStyle="1" w:styleId="HeaderChar">
    <w:name w:val="Header Char"/>
    <w:link w:val="Header"/>
    <w:uiPriority w:val="99"/>
    <w:rsid w:val="00A317AA"/>
    <w:rPr>
      <w:rFonts w:ascii="Cordia New" w:eastAsia="Cordia New" w:hAnsi="Cordia New" w:cs="Cordia New"/>
      <w:sz w:val="28"/>
      <w:szCs w:val="32"/>
    </w:rPr>
  </w:style>
  <w:style w:type="character" w:styleId="Hyperlink">
    <w:name w:val="Hyperlink"/>
    <w:rsid w:val="00A317AA"/>
    <w:rPr>
      <w:color w:val="0563C1"/>
      <w:u w:val="single"/>
    </w:rPr>
  </w:style>
  <w:style w:type="paragraph" w:styleId="NoSpacing">
    <w:name w:val="No Spacing"/>
    <w:uiPriority w:val="1"/>
    <w:qFormat/>
    <w:rsid w:val="001D7C6E"/>
    <w:rPr>
      <w:rFonts w:asciiTheme="minorHAnsi" w:eastAsiaTheme="minorHAnsi" w:hAnsiTheme="minorHAnsi" w:cstheme="minorBidi"/>
      <w:sz w:val="22"/>
      <w:szCs w:val="28"/>
    </w:rPr>
  </w:style>
  <w:style w:type="character" w:styleId="UnresolvedMention">
    <w:name w:val="Unresolved Mention"/>
    <w:basedOn w:val="DefaultParagraphFont"/>
    <w:uiPriority w:val="99"/>
    <w:semiHidden/>
    <w:unhideWhenUsed/>
    <w:rsid w:val="00D87700"/>
    <w:rPr>
      <w:color w:val="605E5C"/>
      <w:shd w:val="clear" w:color="auto" w:fill="E1DFDD"/>
    </w:rPr>
  </w:style>
  <w:style w:type="paragraph" w:customStyle="1" w:styleId="Contentnew">
    <w:name w:val="Content_new"/>
    <w:basedOn w:val="Normal"/>
    <w:link w:val="Contentnew0"/>
    <w:qFormat/>
    <w:rsid w:val="00EB4A20"/>
    <w:pPr>
      <w:suppressAutoHyphens/>
      <w:spacing w:after="120"/>
      <w:ind w:right="-62" w:firstLine="284"/>
      <w:contextualSpacing/>
      <w:jc w:val="thaiDistribute"/>
    </w:pPr>
    <w:rPr>
      <w:rFonts w:ascii="Angsana New" w:eastAsia="TH SarabunPSK" w:hAnsi="Angsana New" w:cs="Angsana New"/>
      <w:sz w:val="24"/>
      <w:szCs w:val="24"/>
      <w:lang w:val="x-none" w:eastAsia="th-TH"/>
    </w:rPr>
  </w:style>
  <w:style w:type="character" w:customStyle="1" w:styleId="Contentnew0">
    <w:name w:val="Content_new อักขระ"/>
    <w:link w:val="Contentnew"/>
    <w:rsid w:val="00EB4A20"/>
    <w:rPr>
      <w:rFonts w:ascii="Angsana New" w:eastAsia="TH SarabunPSK" w:hAnsi="Angsana New"/>
      <w:sz w:val="24"/>
      <w:szCs w:val="24"/>
      <w:lang w:val="x-none" w:eastAsia="th-TH"/>
    </w:rPr>
  </w:style>
  <w:style w:type="paragraph" w:customStyle="1" w:styleId="Heading2new">
    <w:name w:val="Heading2_new"/>
    <w:basedOn w:val="Heading2"/>
    <w:link w:val="Heading2new0"/>
    <w:qFormat/>
    <w:rsid w:val="00EB4A20"/>
    <w:pPr>
      <w:keepNext w:val="0"/>
      <w:keepLines w:val="0"/>
      <w:numPr>
        <w:ilvl w:val="1"/>
      </w:numPr>
      <w:suppressAutoHyphens/>
      <w:spacing w:before="0" w:after="120"/>
      <w:ind w:left="284" w:hanging="284"/>
      <w:contextualSpacing/>
    </w:pPr>
    <w:rPr>
      <w:rFonts w:ascii="Angsana New" w:eastAsia="TH SarabunPSK" w:hAnsi="Angsana New" w:cs="Angsana New"/>
      <w:i/>
      <w:iCs/>
      <w:color w:val="auto"/>
      <w:kern w:val="32"/>
      <w:sz w:val="24"/>
      <w:szCs w:val="24"/>
      <w:lang w:val="x-none" w:eastAsia="th-TH"/>
    </w:rPr>
  </w:style>
  <w:style w:type="character" w:customStyle="1" w:styleId="Heading2new0">
    <w:name w:val="Heading2_new อักขระ"/>
    <w:link w:val="Heading2new"/>
    <w:rsid w:val="00EB4A20"/>
    <w:rPr>
      <w:rFonts w:ascii="Angsana New" w:eastAsia="TH SarabunPSK" w:hAnsi="Angsana New"/>
      <w:i/>
      <w:iCs/>
      <w:kern w:val="32"/>
      <w:sz w:val="24"/>
      <w:szCs w:val="24"/>
      <w:lang w:val="x-none" w:eastAsia="th-TH"/>
    </w:rPr>
  </w:style>
  <w:style w:type="paragraph" w:customStyle="1" w:styleId="Figurenew">
    <w:name w:val="Figure_new"/>
    <w:basedOn w:val="Normal"/>
    <w:link w:val="Figurenew0"/>
    <w:qFormat/>
    <w:rsid w:val="00EB4A20"/>
    <w:pPr>
      <w:suppressAutoHyphens/>
      <w:spacing w:before="120" w:after="120"/>
      <w:ind w:firstLine="284"/>
      <w:contextualSpacing/>
      <w:jc w:val="center"/>
    </w:pPr>
    <w:rPr>
      <w:rFonts w:ascii="TH SarabunPSK" w:eastAsia="MS Mincho" w:hAnsi="TH SarabunPSK" w:cs="Angsana New"/>
      <w:noProof/>
      <w:sz w:val="24"/>
      <w:szCs w:val="24"/>
      <w:lang w:val="x-none" w:eastAsia="x-none"/>
    </w:rPr>
  </w:style>
  <w:style w:type="paragraph" w:customStyle="1" w:styleId="Captionnew">
    <w:name w:val="Caption_new"/>
    <w:basedOn w:val="Normal"/>
    <w:link w:val="Captionnew0"/>
    <w:qFormat/>
    <w:rsid w:val="00EB4A20"/>
    <w:pPr>
      <w:spacing w:after="240"/>
      <w:contextualSpacing/>
      <w:jc w:val="center"/>
    </w:pPr>
    <w:rPr>
      <w:rFonts w:ascii="Angsana New" w:eastAsia="TH SarabunPSK" w:hAnsi="Angsana New" w:cs="Angsana New"/>
      <w:color w:val="000000"/>
      <w:sz w:val="22"/>
      <w:szCs w:val="22"/>
      <w:lang w:val="x-none" w:eastAsia="th-TH"/>
    </w:rPr>
  </w:style>
  <w:style w:type="character" w:customStyle="1" w:styleId="Figurenew0">
    <w:name w:val="Figure_new อักขระ"/>
    <w:link w:val="Figurenew"/>
    <w:rsid w:val="00EB4A20"/>
    <w:rPr>
      <w:rFonts w:ascii="TH SarabunPSK" w:eastAsia="MS Mincho" w:hAnsi="TH SarabunPSK"/>
      <w:noProof/>
      <w:sz w:val="24"/>
      <w:szCs w:val="24"/>
      <w:lang w:val="x-none" w:eastAsia="x-none"/>
    </w:rPr>
  </w:style>
  <w:style w:type="character" w:customStyle="1" w:styleId="Captionnew0">
    <w:name w:val="Caption_new อักขระ"/>
    <w:link w:val="Captionnew"/>
    <w:rsid w:val="00EB4A20"/>
    <w:rPr>
      <w:rFonts w:ascii="Angsana New" w:eastAsia="TH SarabunPSK" w:hAnsi="Angsana New"/>
      <w:color w:val="000000"/>
      <w:sz w:val="22"/>
      <w:szCs w:val="22"/>
      <w:lang w:val="x-none" w:eastAsia="th-TH"/>
    </w:rPr>
  </w:style>
  <w:style w:type="paragraph" w:customStyle="1" w:styleId="CaptionTablenew">
    <w:name w:val="Caption_Table_new"/>
    <w:basedOn w:val="Normal"/>
    <w:link w:val="CaptionTablenew0"/>
    <w:qFormat/>
    <w:rsid w:val="00EB4A20"/>
    <w:pPr>
      <w:spacing w:before="120"/>
      <w:contextualSpacing/>
    </w:pPr>
    <w:rPr>
      <w:rFonts w:ascii="Angsana New" w:eastAsia="MS Mincho" w:hAnsi="Angsana New" w:cs="Angsana New"/>
      <w:b/>
      <w:color w:val="000000"/>
      <w:sz w:val="22"/>
      <w:szCs w:val="22"/>
      <w:lang w:val="x-none" w:eastAsia="ja-JP"/>
    </w:rPr>
  </w:style>
  <w:style w:type="character" w:customStyle="1" w:styleId="CaptionTablenew0">
    <w:name w:val="Caption_Table_new อักขระ"/>
    <w:link w:val="CaptionTablenew"/>
    <w:rsid w:val="00EB4A20"/>
    <w:rPr>
      <w:rFonts w:ascii="Angsana New" w:eastAsia="MS Mincho" w:hAnsi="Angsana New"/>
      <w:b/>
      <w:color w:val="000000"/>
      <w:sz w:val="22"/>
      <w:szCs w:val="22"/>
      <w:lang w:val="x-none" w:eastAsia="ja-JP"/>
    </w:rPr>
  </w:style>
  <w:style w:type="paragraph" w:customStyle="1" w:styleId="Tablenew">
    <w:name w:val="Table_new"/>
    <w:basedOn w:val="Normal"/>
    <w:link w:val="Tablenew0"/>
    <w:autoRedefine/>
    <w:qFormat/>
    <w:rsid w:val="00EB4A20"/>
    <w:pPr>
      <w:jc w:val="center"/>
    </w:pPr>
    <w:rPr>
      <w:rFonts w:ascii="Angsana New" w:eastAsia="MS Mincho" w:hAnsi="Angsana New" w:cs="Angsana New"/>
      <w:color w:val="000000"/>
      <w:sz w:val="24"/>
      <w:szCs w:val="22"/>
      <w:lang w:val="x-none" w:eastAsia="ja-JP"/>
    </w:rPr>
  </w:style>
  <w:style w:type="character" w:customStyle="1" w:styleId="Tablenew0">
    <w:name w:val="Table_new อักขระ"/>
    <w:link w:val="Tablenew"/>
    <w:rsid w:val="00EB4A20"/>
    <w:rPr>
      <w:rFonts w:ascii="Angsana New" w:eastAsia="MS Mincho" w:hAnsi="Angsana New"/>
      <w:color w:val="000000"/>
      <w:sz w:val="24"/>
      <w:szCs w:val="22"/>
      <w:lang w:val="x-none" w:eastAsia="ja-JP"/>
    </w:rPr>
  </w:style>
  <w:style w:type="character" w:customStyle="1" w:styleId="Heading2Char">
    <w:name w:val="Heading 2 Char"/>
    <w:basedOn w:val="DefaultParagraphFont"/>
    <w:link w:val="Heading2"/>
    <w:semiHidden/>
    <w:rsid w:val="00EB4A20"/>
    <w:rPr>
      <w:rFonts w:asciiTheme="majorHAnsi" w:eastAsiaTheme="majorEastAsia" w:hAnsiTheme="majorHAnsi" w:cstheme="majorBidi"/>
      <w:color w:val="2E74B5" w:themeColor="accent1" w:themeShade="BF"/>
      <w:sz w:val="26"/>
      <w:szCs w:val="33"/>
    </w:rPr>
  </w:style>
  <w:style w:type="paragraph" w:styleId="NormalWeb">
    <w:name w:val="Normal (Web)"/>
    <w:basedOn w:val="Normal"/>
    <w:uiPriority w:val="99"/>
    <w:unhideWhenUsed/>
    <w:rsid w:val="00C47651"/>
    <w:pPr>
      <w:spacing w:before="100" w:beforeAutospacing="1" w:after="100" w:afterAutospacing="1"/>
    </w:pPr>
    <w:rPr>
      <w:rFonts w:ascii="Tahoma" w:eastAsia="Times New Roman" w:hAnsi="Tahoma" w:cs="Tahoma"/>
      <w:sz w:val="24"/>
      <w:szCs w:val="24"/>
    </w:rPr>
  </w:style>
  <w:style w:type="character" w:customStyle="1" w:styleId="FooterChar">
    <w:name w:val="Footer Char"/>
    <w:basedOn w:val="DefaultParagraphFont"/>
    <w:link w:val="Footer"/>
    <w:uiPriority w:val="99"/>
    <w:rsid w:val="00BE374A"/>
    <w:rPr>
      <w:rFonts w:ascii="Cordia New" w:eastAsia="Cordia New" w:hAnsi="Cordia New" w:cs="Cordia New"/>
      <w:sz w:val="28"/>
      <w:szCs w:val="32"/>
    </w:rPr>
  </w:style>
  <w:style w:type="character" w:customStyle="1" w:styleId="apple-converted-space">
    <w:name w:val="apple-converted-space"/>
    <w:basedOn w:val="DefaultParagraphFont"/>
    <w:rsid w:val="00BE374A"/>
  </w:style>
  <w:style w:type="paragraph" w:styleId="ListParagraph">
    <w:name w:val="List Paragraph"/>
    <w:basedOn w:val="Normal"/>
    <w:uiPriority w:val="34"/>
    <w:qFormat/>
    <w:rsid w:val="00BD2175"/>
    <w:pPr>
      <w:ind w:left="720"/>
      <w:contextualSpacing/>
    </w:pPr>
    <w:rPr>
      <w:szCs w:val="35"/>
    </w:rPr>
  </w:style>
  <w:style w:type="table" w:styleId="TableGrid">
    <w:name w:val="Table Grid"/>
    <w:basedOn w:val="TableNormal"/>
    <w:uiPriority w:val="39"/>
    <w:rsid w:val="00816F15"/>
    <w:rPr>
      <w:rFonts w:asciiTheme="minorHAnsi" w:eastAsiaTheme="minorHAnsi" w:hAnsiTheme="minorHAnsi" w:cstheme="minorBidi"/>
      <w:kern w:val="2"/>
      <w:sz w:val="24"/>
      <w:szCs w:val="30"/>
      <w:lang w:val="en-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9783">
      <w:bodyDiv w:val="1"/>
      <w:marLeft w:val="0"/>
      <w:marRight w:val="0"/>
      <w:marTop w:val="0"/>
      <w:marBottom w:val="0"/>
      <w:divBdr>
        <w:top w:val="none" w:sz="0" w:space="0" w:color="auto"/>
        <w:left w:val="none" w:sz="0" w:space="0" w:color="auto"/>
        <w:bottom w:val="none" w:sz="0" w:space="0" w:color="auto"/>
        <w:right w:val="none" w:sz="0" w:space="0" w:color="auto"/>
      </w:divBdr>
    </w:div>
    <w:div w:id="97138680">
      <w:bodyDiv w:val="1"/>
      <w:marLeft w:val="0"/>
      <w:marRight w:val="0"/>
      <w:marTop w:val="0"/>
      <w:marBottom w:val="0"/>
      <w:divBdr>
        <w:top w:val="none" w:sz="0" w:space="0" w:color="auto"/>
        <w:left w:val="none" w:sz="0" w:space="0" w:color="auto"/>
        <w:bottom w:val="none" w:sz="0" w:space="0" w:color="auto"/>
        <w:right w:val="none" w:sz="0" w:space="0" w:color="auto"/>
      </w:divBdr>
    </w:div>
    <w:div w:id="157893829">
      <w:bodyDiv w:val="1"/>
      <w:marLeft w:val="0"/>
      <w:marRight w:val="0"/>
      <w:marTop w:val="0"/>
      <w:marBottom w:val="0"/>
      <w:divBdr>
        <w:top w:val="none" w:sz="0" w:space="0" w:color="auto"/>
        <w:left w:val="none" w:sz="0" w:space="0" w:color="auto"/>
        <w:bottom w:val="none" w:sz="0" w:space="0" w:color="auto"/>
        <w:right w:val="none" w:sz="0" w:space="0" w:color="auto"/>
      </w:divBdr>
    </w:div>
    <w:div w:id="287246570">
      <w:bodyDiv w:val="1"/>
      <w:marLeft w:val="0"/>
      <w:marRight w:val="0"/>
      <w:marTop w:val="0"/>
      <w:marBottom w:val="0"/>
      <w:divBdr>
        <w:top w:val="none" w:sz="0" w:space="0" w:color="auto"/>
        <w:left w:val="none" w:sz="0" w:space="0" w:color="auto"/>
        <w:bottom w:val="none" w:sz="0" w:space="0" w:color="auto"/>
        <w:right w:val="none" w:sz="0" w:space="0" w:color="auto"/>
      </w:divBdr>
    </w:div>
    <w:div w:id="312948825">
      <w:bodyDiv w:val="1"/>
      <w:marLeft w:val="0"/>
      <w:marRight w:val="0"/>
      <w:marTop w:val="0"/>
      <w:marBottom w:val="0"/>
      <w:divBdr>
        <w:top w:val="none" w:sz="0" w:space="0" w:color="auto"/>
        <w:left w:val="none" w:sz="0" w:space="0" w:color="auto"/>
        <w:bottom w:val="none" w:sz="0" w:space="0" w:color="auto"/>
        <w:right w:val="none" w:sz="0" w:space="0" w:color="auto"/>
      </w:divBdr>
    </w:div>
    <w:div w:id="321929645">
      <w:bodyDiv w:val="1"/>
      <w:marLeft w:val="0"/>
      <w:marRight w:val="0"/>
      <w:marTop w:val="0"/>
      <w:marBottom w:val="0"/>
      <w:divBdr>
        <w:top w:val="none" w:sz="0" w:space="0" w:color="auto"/>
        <w:left w:val="none" w:sz="0" w:space="0" w:color="auto"/>
        <w:bottom w:val="none" w:sz="0" w:space="0" w:color="auto"/>
        <w:right w:val="none" w:sz="0" w:space="0" w:color="auto"/>
      </w:divBdr>
    </w:div>
    <w:div w:id="355084932">
      <w:bodyDiv w:val="1"/>
      <w:marLeft w:val="0"/>
      <w:marRight w:val="0"/>
      <w:marTop w:val="0"/>
      <w:marBottom w:val="0"/>
      <w:divBdr>
        <w:top w:val="none" w:sz="0" w:space="0" w:color="auto"/>
        <w:left w:val="none" w:sz="0" w:space="0" w:color="auto"/>
        <w:bottom w:val="none" w:sz="0" w:space="0" w:color="auto"/>
        <w:right w:val="none" w:sz="0" w:space="0" w:color="auto"/>
      </w:divBdr>
    </w:div>
    <w:div w:id="368920792">
      <w:bodyDiv w:val="1"/>
      <w:marLeft w:val="0"/>
      <w:marRight w:val="0"/>
      <w:marTop w:val="0"/>
      <w:marBottom w:val="0"/>
      <w:divBdr>
        <w:top w:val="none" w:sz="0" w:space="0" w:color="auto"/>
        <w:left w:val="none" w:sz="0" w:space="0" w:color="auto"/>
        <w:bottom w:val="none" w:sz="0" w:space="0" w:color="auto"/>
        <w:right w:val="none" w:sz="0" w:space="0" w:color="auto"/>
      </w:divBdr>
    </w:div>
    <w:div w:id="369186727">
      <w:bodyDiv w:val="1"/>
      <w:marLeft w:val="0"/>
      <w:marRight w:val="0"/>
      <w:marTop w:val="0"/>
      <w:marBottom w:val="0"/>
      <w:divBdr>
        <w:top w:val="none" w:sz="0" w:space="0" w:color="auto"/>
        <w:left w:val="none" w:sz="0" w:space="0" w:color="auto"/>
        <w:bottom w:val="none" w:sz="0" w:space="0" w:color="auto"/>
        <w:right w:val="none" w:sz="0" w:space="0" w:color="auto"/>
      </w:divBdr>
    </w:div>
    <w:div w:id="374043505">
      <w:bodyDiv w:val="1"/>
      <w:marLeft w:val="0"/>
      <w:marRight w:val="0"/>
      <w:marTop w:val="0"/>
      <w:marBottom w:val="0"/>
      <w:divBdr>
        <w:top w:val="none" w:sz="0" w:space="0" w:color="auto"/>
        <w:left w:val="none" w:sz="0" w:space="0" w:color="auto"/>
        <w:bottom w:val="none" w:sz="0" w:space="0" w:color="auto"/>
        <w:right w:val="none" w:sz="0" w:space="0" w:color="auto"/>
      </w:divBdr>
    </w:div>
    <w:div w:id="410125414">
      <w:bodyDiv w:val="1"/>
      <w:marLeft w:val="0"/>
      <w:marRight w:val="0"/>
      <w:marTop w:val="0"/>
      <w:marBottom w:val="0"/>
      <w:divBdr>
        <w:top w:val="none" w:sz="0" w:space="0" w:color="auto"/>
        <w:left w:val="none" w:sz="0" w:space="0" w:color="auto"/>
        <w:bottom w:val="none" w:sz="0" w:space="0" w:color="auto"/>
        <w:right w:val="none" w:sz="0" w:space="0" w:color="auto"/>
      </w:divBdr>
    </w:div>
    <w:div w:id="429740362">
      <w:bodyDiv w:val="1"/>
      <w:marLeft w:val="0"/>
      <w:marRight w:val="0"/>
      <w:marTop w:val="0"/>
      <w:marBottom w:val="0"/>
      <w:divBdr>
        <w:top w:val="none" w:sz="0" w:space="0" w:color="auto"/>
        <w:left w:val="none" w:sz="0" w:space="0" w:color="auto"/>
        <w:bottom w:val="none" w:sz="0" w:space="0" w:color="auto"/>
        <w:right w:val="none" w:sz="0" w:space="0" w:color="auto"/>
      </w:divBdr>
    </w:div>
    <w:div w:id="519588156">
      <w:bodyDiv w:val="1"/>
      <w:marLeft w:val="0"/>
      <w:marRight w:val="0"/>
      <w:marTop w:val="0"/>
      <w:marBottom w:val="0"/>
      <w:divBdr>
        <w:top w:val="none" w:sz="0" w:space="0" w:color="auto"/>
        <w:left w:val="none" w:sz="0" w:space="0" w:color="auto"/>
        <w:bottom w:val="none" w:sz="0" w:space="0" w:color="auto"/>
        <w:right w:val="none" w:sz="0" w:space="0" w:color="auto"/>
      </w:divBdr>
    </w:div>
    <w:div w:id="520557187">
      <w:bodyDiv w:val="1"/>
      <w:marLeft w:val="0"/>
      <w:marRight w:val="0"/>
      <w:marTop w:val="0"/>
      <w:marBottom w:val="0"/>
      <w:divBdr>
        <w:top w:val="none" w:sz="0" w:space="0" w:color="auto"/>
        <w:left w:val="none" w:sz="0" w:space="0" w:color="auto"/>
        <w:bottom w:val="none" w:sz="0" w:space="0" w:color="auto"/>
        <w:right w:val="none" w:sz="0" w:space="0" w:color="auto"/>
      </w:divBdr>
    </w:div>
    <w:div w:id="560487828">
      <w:bodyDiv w:val="1"/>
      <w:marLeft w:val="0"/>
      <w:marRight w:val="0"/>
      <w:marTop w:val="0"/>
      <w:marBottom w:val="0"/>
      <w:divBdr>
        <w:top w:val="none" w:sz="0" w:space="0" w:color="auto"/>
        <w:left w:val="none" w:sz="0" w:space="0" w:color="auto"/>
        <w:bottom w:val="none" w:sz="0" w:space="0" w:color="auto"/>
        <w:right w:val="none" w:sz="0" w:space="0" w:color="auto"/>
      </w:divBdr>
    </w:div>
    <w:div w:id="577518693">
      <w:bodyDiv w:val="1"/>
      <w:marLeft w:val="0"/>
      <w:marRight w:val="0"/>
      <w:marTop w:val="0"/>
      <w:marBottom w:val="0"/>
      <w:divBdr>
        <w:top w:val="none" w:sz="0" w:space="0" w:color="auto"/>
        <w:left w:val="none" w:sz="0" w:space="0" w:color="auto"/>
        <w:bottom w:val="none" w:sz="0" w:space="0" w:color="auto"/>
        <w:right w:val="none" w:sz="0" w:space="0" w:color="auto"/>
      </w:divBdr>
    </w:div>
    <w:div w:id="599410390">
      <w:bodyDiv w:val="1"/>
      <w:marLeft w:val="0"/>
      <w:marRight w:val="0"/>
      <w:marTop w:val="0"/>
      <w:marBottom w:val="0"/>
      <w:divBdr>
        <w:top w:val="none" w:sz="0" w:space="0" w:color="auto"/>
        <w:left w:val="none" w:sz="0" w:space="0" w:color="auto"/>
        <w:bottom w:val="none" w:sz="0" w:space="0" w:color="auto"/>
        <w:right w:val="none" w:sz="0" w:space="0" w:color="auto"/>
      </w:divBdr>
    </w:div>
    <w:div w:id="670256853">
      <w:bodyDiv w:val="1"/>
      <w:marLeft w:val="0"/>
      <w:marRight w:val="0"/>
      <w:marTop w:val="0"/>
      <w:marBottom w:val="0"/>
      <w:divBdr>
        <w:top w:val="none" w:sz="0" w:space="0" w:color="auto"/>
        <w:left w:val="none" w:sz="0" w:space="0" w:color="auto"/>
        <w:bottom w:val="none" w:sz="0" w:space="0" w:color="auto"/>
        <w:right w:val="none" w:sz="0" w:space="0" w:color="auto"/>
      </w:divBdr>
    </w:div>
    <w:div w:id="750001737">
      <w:bodyDiv w:val="1"/>
      <w:marLeft w:val="0"/>
      <w:marRight w:val="0"/>
      <w:marTop w:val="0"/>
      <w:marBottom w:val="0"/>
      <w:divBdr>
        <w:top w:val="none" w:sz="0" w:space="0" w:color="auto"/>
        <w:left w:val="none" w:sz="0" w:space="0" w:color="auto"/>
        <w:bottom w:val="none" w:sz="0" w:space="0" w:color="auto"/>
        <w:right w:val="none" w:sz="0" w:space="0" w:color="auto"/>
      </w:divBdr>
    </w:div>
    <w:div w:id="792676792">
      <w:bodyDiv w:val="1"/>
      <w:marLeft w:val="0"/>
      <w:marRight w:val="0"/>
      <w:marTop w:val="0"/>
      <w:marBottom w:val="0"/>
      <w:divBdr>
        <w:top w:val="none" w:sz="0" w:space="0" w:color="auto"/>
        <w:left w:val="none" w:sz="0" w:space="0" w:color="auto"/>
        <w:bottom w:val="none" w:sz="0" w:space="0" w:color="auto"/>
        <w:right w:val="none" w:sz="0" w:space="0" w:color="auto"/>
      </w:divBdr>
    </w:div>
    <w:div w:id="839124339">
      <w:bodyDiv w:val="1"/>
      <w:marLeft w:val="0"/>
      <w:marRight w:val="0"/>
      <w:marTop w:val="0"/>
      <w:marBottom w:val="0"/>
      <w:divBdr>
        <w:top w:val="none" w:sz="0" w:space="0" w:color="auto"/>
        <w:left w:val="none" w:sz="0" w:space="0" w:color="auto"/>
        <w:bottom w:val="none" w:sz="0" w:space="0" w:color="auto"/>
        <w:right w:val="none" w:sz="0" w:space="0" w:color="auto"/>
      </w:divBdr>
    </w:div>
    <w:div w:id="856697586">
      <w:bodyDiv w:val="1"/>
      <w:marLeft w:val="0"/>
      <w:marRight w:val="0"/>
      <w:marTop w:val="0"/>
      <w:marBottom w:val="0"/>
      <w:divBdr>
        <w:top w:val="none" w:sz="0" w:space="0" w:color="auto"/>
        <w:left w:val="none" w:sz="0" w:space="0" w:color="auto"/>
        <w:bottom w:val="none" w:sz="0" w:space="0" w:color="auto"/>
        <w:right w:val="none" w:sz="0" w:space="0" w:color="auto"/>
      </w:divBdr>
    </w:div>
    <w:div w:id="891379802">
      <w:bodyDiv w:val="1"/>
      <w:marLeft w:val="0"/>
      <w:marRight w:val="0"/>
      <w:marTop w:val="0"/>
      <w:marBottom w:val="0"/>
      <w:divBdr>
        <w:top w:val="none" w:sz="0" w:space="0" w:color="auto"/>
        <w:left w:val="none" w:sz="0" w:space="0" w:color="auto"/>
        <w:bottom w:val="none" w:sz="0" w:space="0" w:color="auto"/>
        <w:right w:val="none" w:sz="0" w:space="0" w:color="auto"/>
      </w:divBdr>
    </w:div>
    <w:div w:id="937061982">
      <w:bodyDiv w:val="1"/>
      <w:marLeft w:val="0"/>
      <w:marRight w:val="0"/>
      <w:marTop w:val="0"/>
      <w:marBottom w:val="0"/>
      <w:divBdr>
        <w:top w:val="none" w:sz="0" w:space="0" w:color="auto"/>
        <w:left w:val="none" w:sz="0" w:space="0" w:color="auto"/>
        <w:bottom w:val="none" w:sz="0" w:space="0" w:color="auto"/>
        <w:right w:val="none" w:sz="0" w:space="0" w:color="auto"/>
      </w:divBdr>
    </w:div>
    <w:div w:id="939873403">
      <w:bodyDiv w:val="1"/>
      <w:marLeft w:val="0"/>
      <w:marRight w:val="0"/>
      <w:marTop w:val="0"/>
      <w:marBottom w:val="0"/>
      <w:divBdr>
        <w:top w:val="none" w:sz="0" w:space="0" w:color="auto"/>
        <w:left w:val="none" w:sz="0" w:space="0" w:color="auto"/>
        <w:bottom w:val="none" w:sz="0" w:space="0" w:color="auto"/>
        <w:right w:val="none" w:sz="0" w:space="0" w:color="auto"/>
      </w:divBdr>
    </w:div>
    <w:div w:id="949776856">
      <w:bodyDiv w:val="1"/>
      <w:marLeft w:val="0"/>
      <w:marRight w:val="0"/>
      <w:marTop w:val="0"/>
      <w:marBottom w:val="0"/>
      <w:divBdr>
        <w:top w:val="none" w:sz="0" w:space="0" w:color="auto"/>
        <w:left w:val="none" w:sz="0" w:space="0" w:color="auto"/>
        <w:bottom w:val="none" w:sz="0" w:space="0" w:color="auto"/>
        <w:right w:val="none" w:sz="0" w:space="0" w:color="auto"/>
      </w:divBdr>
    </w:div>
    <w:div w:id="992372242">
      <w:bodyDiv w:val="1"/>
      <w:marLeft w:val="0"/>
      <w:marRight w:val="0"/>
      <w:marTop w:val="0"/>
      <w:marBottom w:val="0"/>
      <w:divBdr>
        <w:top w:val="none" w:sz="0" w:space="0" w:color="auto"/>
        <w:left w:val="none" w:sz="0" w:space="0" w:color="auto"/>
        <w:bottom w:val="none" w:sz="0" w:space="0" w:color="auto"/>
        <w:right w:val="none" w:sz="0" w:space="0" w:color="auto"/>
      </w:divBdr>
    </w:div>
    <w:div w:id="1017806613">
      <w:bodyDiv w:val="1"/>
      <w:marLeft w:val="0"/>
      <w:marRight w:val="0"/>
      <w:marTop w:val="0"/>
      <w:marBottom w:val="0"/>
      <w:divBdr>
        <w:top w:val="none" w:sz="0" w:space="0" w:color="auto"/>
        <w:left w:val="none" w:sz="0" w:space="0" w:color="auto"/>
        <w:bottom w:val="none" w:sz="0" w:space="0" w:color="auto"/>
        <w:right w:val="none" w:sz="0" w:space="0" w:color="auto"/>
      </w:divBdr>
    </w:div>
    <w:div w:id="1079909785">
      <w:bodyDiv w:val="1"/>
      <w:marLeft w:val="0"/>
      <w:marRight w:val="0"/>
      <w:marTop w:val="0"/>
      <w:marBottom w:val="0"/>
      <w:divBdr>
        <w:top w:val="none" w:sz="0" w:space="0" w:color="auto"/>
        <w:left w:val="none" w:sz="0" w:space="0" w:color="auto"/>
        <w:bottom w:val="none" w:sz="0" w:space="0" w:color="auto"/>
        <w:right w:val="none" w:sz="0" w:space="0" w:color="auto"/>
      </w:divBdr>
    </w:div>
    <w:div w:id="1111785184">
      <w:bodyDiv w:val="1"/>
      <w:marLeft w:val="0"/>
      <w:marRight w:val="0"/>
      <w:marTop w:val="0"/>
      <w:marBottom w:val="0"/>
      <w:divBdr>
        <w:top w:val="none" w:sz="0" w:space="0" w:color="auto"/>
        <w:left w:val="none" w:sz="0" w:space="0" w:color="auto"/>
        <w:bottom w:val="none" w:sz="0" w:space="0" w:color="auto"/>
        <w:right w:val="none" w:sz="0" w:space="0" w:color="auto"/>
      </w:divBdr>
    </w:div>
    <w:div w:id="1140271455">
      <w:bodyDiv w:val="1"/>
      <w:marLeft w:val="0"/>
      <w:marRight w:val="0"/>
      <w:marTop w:val="0"/>
      <w:marBottom w:val="0"/>
      <w:divBdr>
        <w:top w:val="none" w:sz="0" w:space="0" w:color="auto"/>
        <w:left w:val="none" w:sz="0" w:space="0" w:color="auto"/>
        <w:bottom w:val="none" w:sz="0" w:space="0" w:color="auto"/>
        <w:right w:val="none" w:sz="0" w:space="0" w:color="auto"/>
      </w:divBdr>
    </w:div>
    <w:div w:id="1189174493">
      <w:bodyDiv w:val="1"/>
      <w:marLeft w:val="0"/>
      <w:marRight w:val="0"/>
      <w:marTop w:val="0"/>
      <w:marBottom w:val="0"/>
      <w:divBdr>
        <w:top w:val="none" w:sz="0" w:space="0" w:color="auto"/>
        <w:left w:val="none" w:sz="0" w:space="0" w:color="auto"/>
        <w:bottom w:val="none" w:sz="0" w:space="0" w:color="auto"/>
        <w:right w:val="none" w:sz="0" w:space="0" w:color="auto"/>
      </w:divBdr>
    </w:div>
    <w:div w:id="1202210156">
      <w:bodyDiv w:val="1"/>
      <w:marLeft w:val="0"/>
      <w:marRight w:val="0"/>
      <w:marTop w:val="0"/>
      <w:marBottom w:val="0"/>
      <w:divBdr>
        <w:top w:val="none" w:sz="0" w:space="0" w:color="auto"/>
        <w:left w:val="none" w:sz="0" w:space="0" w:color="auto"/>
        <w:bottom w:val="none" w:sz="0" w:space="0" w:color="auto"/>
        <w:right w:val="none" w:sz="0" w:space="0" w:color="auto"/>
      </w:divBdr>
    </w:div>
    <w:div w:id="1238324454">
      <w:bodyDiv w:val="1"/>
      <w:marLeft w:val="0"/>
      <w:marRight w:val="0"/>
      <w:marTop w:val="0"/>
      <w:marBottom w:val="0"/>
      <w:divBdr>
        <w:top w:val="none" w:sz="0" w:space="0" w:color="auto"/>
        <w:left w:val="none" w:sz="0" w:space="0" w:color="auto"/>
        <w:bottom w:val="none" w:sz="0" w:space="0" w:color="auto"/>
        <w:right w:val="none" w:sz="0" w:space="0" w:color="auto"/>
      </w:divBdr>
    </w:div>
    <w:div w:id="1249580332">
      <w:bodyDiv w:val="1"/>
      <w:marLeft w:val="0"/>
      <w:marRight w:val="0"/>
      <w:marTop w:val="0"/>
      <w:marBottom w:val="0"/>
      <w:divBdr>
        <w:top w:val="none" w:sz="0" w:space="0" w:color="auto"/>
        <w:left w:val="none" w:sz="0" w:space="0" w:color="auto"/>
        <w:bottom w:val="none" w:sz="0" w:space="0" w:color="auto"/>
        <w:right w:val="none" w:sz="0" w:space="0" w:color="auto"/>
      </w:divBdr>
    </w:div>
    <w:div w:id="1300920730">
      <w:bodyDiv w:val="1"/>
      <w:marLeft w:val="0"/>
      <w:marRight w:val="0"/>
      <w:marTop w:val="0"/>
      <w:marBottom w:val="0"/>
      <w:divBdr>
        <w:top w:val="none" w:sz="0" w:space="0" w:color="auto"/>
        <w:left w:val="none" w:sz="0" w:space="0" w:color="auto"/>
        <w:bottom w:val="none" w:sz="0" w:space="0" w:color="auto"/>
        <w:right w:val="none" w:sz="0" w:space="0" w:color="auto"/>
      </w:divBdr>
    </w:div>
    <w:div w:id="1313801338">
      <w:bodyDiv w:val="1"/>
      <w:marLeft w:val="0"/>
      <w:marRight w:val="0"/>
      <w:marTop w:val="0"/>
      <w:marBottom w:val="0"/>
      <w:divBdr>
        <w:top w:val="none" w:sz="0" w:space="0" w:color="auto"/>
        <w:left w:val="none" w:sz="0" w:space="0" w:color="auto"/>
        <w:bottom w:val="none" w:sz="0" w:space="0" w:color="auto"/>
        <w:right w:val="none" w:sz="0" w:space="0" w:color="auto"/>
      </w:divBdr>
    </w:div>
    <w:div w:id="1351444693">
      <w:bodyDiv w:val="1"/>
      <w:marLeft w:val="0"/>
      <w:marRight w:val="0"/>
      <w:marTop w:val="0"/>
      <w:marBottom w:val="0"/>
      <w:divBdr>
        <w:top w:val="none" w:sz="0" w:space="0" w:color="auto"/>
        <w:left w:val="none" w:sz="0" w:space="0" w:color="auto"/>
        <w:bottom w:val="none" w:sz="0" w:space="0" w:color="auto"/>
        <w:right w:val="none" w:sz="0" w:space="0" w:color="auto"/>
      </w:divBdr>
    </w:div>
    <w:div w:id="1370255295">
      <w:bodyDiv w:val="1"/>
      <w:marLeft w:val="0"/>
      <w:marRight w:val="0"/>
      <w:marTop w:val="0"/>
      <w:marBottom w:val="0"/>
      <w:divBdr>
        <w:top w:val="none" w:sz="0" w:space="0" w:color="auto"/>
        <w:left w:val="none" w:sz="0" w:space="0" w:color="auto"/>
        <w:bottom w:val="none" w:sz="0" w:space="0" w:color="auto"/>
        <w:right w:val="none" w:sz="0" w:space="0" w:color="auto"/>
      </w:divBdr>
    </w:div>
    <w:div w:id="1395200592">
      <w:bodyDiv w:val="1"/>
      <w:marLeft w:val="0"/>
      <w:marRight w:val="0"/>
      <w:marTop w:val="0"/>
      <w:marBottom w:val="0"/>
      <w:divBdr>
        <w:top w:val="none" w:sz="0" w:space="0" w:color="auto"/>
        <w:left w:val="none" w:sz="0" w:space="0" w:color="auto"/>
        <w:bottom w:val="none" w:sz="0" w:space="0" w:color="auto"/>
        <w:right w:val="none" w:sz="0" w:space="0" w:color="auto"/>
      </w:divBdr>
    </w:div>
    <w:div w:id="1396320861">
      <w:bodyDiv w:val="1"/>
      <w:marLeft w:val="0"/>
      <w:marRight w:val="0"/>
      <w:marTop w:val="0"/>
      <w:marBottom w:val="0"/>
      <w:divBdr>
        <w:top w:val="none" w:sz="0" w:space="0" w:color="auto"/>
        <w:left w:val="none" w:sz="0" w:space="0" w:color="auto"/>
        <w:bottom w:val="none" w:sz="0" w:space="0" w:color="auto"/>
        <w:right w:val="none" w:sz="0" w:space="0" w:color="auto"/>
      </w:divBdr>
    </w:div>
    <w:div w:id="1445416060">
      <w:bodyDiv w:val="1"/>
      <w:marLeft w:val="0"/>
      <w:marRight w:val="0"/>
      <w:marTop w:val="0"/>
      <w:marBottom w:val="0"/>
      <w:divBdr>
        <w:top w:val="none" w:sz="0" w:space="0" w:color="auto"/>
        <w:left w:val="none" w:sz="0" w:space="0" w:color="auto"/>
        <w:bottom w:val="none" w:sz="0" w:space="0" w:color="auto"/>
        <w:right w:val="none" w:sz="0" w:space="0" w:color="auto"/>
      </w:divBdr>
    </w:div>
    <w:div w:id="1461651332">
      <w:bodyDiv w:val="1"/>
      <w:marLeft w:val="0"/>
      <w:marRight w:val="0"/>
      <w:marTop w:val="0"/>
      <w:marBottom w:val="0"/>
      <w:divBdr>
        <w:top w:val="none" w:sz="0" w:space="0" w:color="auto"/>
        <w:left w:val="none" w:sz="0" w:space="0" w:color="auto"/>
        <w:bottom w:val="none" w:sz="0" w:space="0" w:color="auto"/>
        <w:right w:val="none" w:sz="0" w:space="0" w:color="auto"/>
      </w:divBdr>
    </w:div>
    <w:div w:id="1470048099">
      <w:bodyDiv w:val="1"/>
      <w:marLeft w:val="0"/>
      <w:marRight w:val="0"/>
      <w:marTop w:val="0"/>
      <w:marBottom w:val="0"/>
      <w:divBdr>
        <w:top w:val="none" w:sz="0" w:space="0" w:color="auto"/>
        <w:left w:val="none" w:sz="0" w:space="0" w:color="auto"/>
        <w:bottom w:val="none" w:sz="0" w:space="0" w:color="auto"/>
        <w:right w:val="none" w:sz="0" w:space="0" w:color="auto"/>
      </w:divBdr>
    </w:div>
    <w:div w:id="1491289101">
      <w:bodyDiv w:val="1"/>
      <w:marLeft w:val="0"/>
      <w:marRight w:val="0"/>
      <w:marTop w:val="0"/>
      <w:marBottom w:val="0"/>
      <w:divBdr>
        <w:top w:val="none" w:sz="0" w:space="0" w:color="auto"/>
        <w:left w:val="none" w:sz="0" w:space="0" w:color="auto"/>
        <w:bottom w:val="none" w:sz="0" w:space="0" w:color="auto"/>
        <w:right w:val="none" w:sz="0" w:space="0" w:color="auto"/>
      </w:divBdr>
    </w:div>
    <w:div w:id="1511483014">
      <w:bodyDiv w:val="1"/>
      <w:marLeft w:val="0"/>
      <w:marRight w:val="0"/>
      <w:marTop w:val="0"/>
      <w:marBottom w:val="0"/>
      <w:divBdr>
        <w:top w:val="none" w:sz="0" w:space="0" w:color="auto"/>
        <w:left w:val="none" w:sz="0" w:space="0" w:color="auto"/>
        <w:bottom w:val="none" w:sz="0" w:space="0" w:color="auto"/>
        <w:right w:val="none" w:sz="0" w:space="0" w:color="auto"/>
      </w:divBdr>
    </w:div>
    <w:div w:id="1512840321">
      <w:bodyDiv w:val="1"/>
      <w:marLeft w:val="0"/>
      <w:marRight w:val="0"/>
      <w:marTop w:val="0"/>
      <w:marBottom w:val="0"/>
      <w:divBdr>
        <w:top w:val="none" w:sz="0" w:space="0" w:color="auto"/>
        <w:left w:val="none" w:sz="0" w:space="0" w:color="auto"/>
        <w:bottom w:val="none" w:sz="0" w:space="0" w:color="auto"/>
        <w:right w:val="none" w:sz="0" w:space="0" w:color="auto"/>
      </w:divBdr>
    </w:div>
    <w:div w:id="1547914189">
      <w:bodyDiv w:val="1"/>
      <w:marLeft w:val="0"/>
      <w:marRight w:val="0"/>
      <w:marTop w:val="0"/>
      <w:marBottom w:val="0"/>
      <w:divBdr>
        <w:top w:val="none" w:sz="0" w:space="0" w:color="auto"/>
        <w:left w:val="none" w:sz="0" w:space="0" w:color="auto"/>
        <w:bottom w:val="none" w:sz="0" w:space="0" w:color="auto"/>
        <w:right w:val="none" w:sz="0" w:space="0" w:color="auto"/>
      </w:divBdr>
    </w:div>
    <w:div w:id="1681882842">
      <w:bodyDiv w:val="1"/>
      <w:marLeft w:val="0"/>
      <w:marRight w:val="0"/>
      <w:marTop w:val="0"/>
      <w:marBottom w:val="0"/>
      <w:divBdr>
        <w:top w:val="none" w:sz="0" w:space="0" w:color="auto"/>
        <w:left w:val="none" w:sz="0" w:space="0" w:color="auto"/>
        <w:bottom w:val="none" w:sz="0" w:space="0" w:color="auto"/>
        <w:right w:val="none" w:sz="0" w:space="0" w:color="auto"/>
      </w:divBdr>
    </w:div>
    <w:div w:id="1686250642">
      <w:bodyDiv w:val="1"/>
      <w:marLeft w:val="0"/>
      <w:marRight w:val="0"/>
      <w:marTop w:val="0"/>
      <w:marBottom w:val="0"/>
      <w:divBdr>
        <w:top w:val="none" w:sz="0" w:space="0" w:color="auto"/>
        <w:left w:val="none" w:sz="0" w:space="0" w:color="auto"/>
        <w:bottom w:val="none" w:sz="0" w:space="0" w:color="auto"/>
        <w:right w:val="none" w:sz="0" w:space="0" w:color="auto"/>
      </w:divBdr>
    </w:div>
    <w:div w:id="1710186659">
      <w:bodyDiv w:val="1"/>
      <w:marLeft w:val="0"/>
      <w:marRight w:val="0"/>
      <w:marTop w:val="0"/>
      <w:marBottom w:val="0"/>
      <w:divBdr>
        <w:top w:val="none" w:sz="0" w:space="0" w:color="auto"/>
        <w:left w:val="none" w:sz="0" w:space="0" w:color="auto"/>
        <w:bottom w:val="none" w:sz="0" w:space="0" w:color="auto"/>
        <w:right w:val="none" w:sz="0" w:space="0" w:color="auto"/>
      </w:divBdr>
    </w:div>
    <w:div w:id="1839348645">
      <w:bodyDiv w:val="1"/>
      <w:marLeft w:val="0"/>
      <w:marRight w:val="0"/>
      <w:marTop w:val="0"/>
      <w:marBottom w:val="0"/>
      <w:divBdr>
        <w:top w:val="none" w:sz="0" w:space="0" w:color="auto"/>
        <w:left w:val="none" w:sz="0" w:space="0" w:color="auto"/>
        <w:bottom w:val="none" w:sz="0" w:space="0" w:color="auto"/>
        <w:right w:val="none" w:sz="0" w:space="0" w:color="auto"/>
      </w:divBdr>
    </w:div>
    <w:div w:id="1894854514">
      <w:bodyDiv w:val="1"/>
      <w:marLeft w:val="0"/>
      <w:marRight w:val="0"/>
      <w:marTop w:val="0"/>
      <w:marBottom w:val="0"/>
      <w:divBdr>
        <w:top w:val="none" w:sz="0" w:space="0" w:color="auto"/>
        <w:left w:val="none" w:sz="0" w:space="0" w:color="auto"/>
        <w:bottom w:val="none" w:sz="0" w:space="0" w:color="auto"/>
        <w:right w:val="none" w:sz="0" w:space="0" w:color="auto"/>
      </w:divBdr>
    </w:div>
    <w:div w:id="2072800379">
      <w:bodyDiv w:val="1"/>
      <w:marLeft w:val="0"/>
      <w:marRight w:val="0"/>
      <w:marTop w:val="0"/>
      <w:marBottom w:val="0"/>
      <w:divBdr>
        <w:top w:val="none" w:sz="0" w:space="0" w:color="auto"/>
        <w:left w:val="none" w:sz="0" w:space="0" w:color="auto"/>
        <w:bottom w:val="none" w:sz="0" w:space="0" w:color="auto"/>
        <w:right w:val="none" w:sz="0" w:space="0" w:color="auto"/>
      </w:divBdr>
    </w:div>
    <w:div w:id="21120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erapan72@pcru.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33D6-3CC0-45D5-A4BB-7A4BF0C4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ตัวอย่างการเขียนบทความวิชาการ</vt:lpstr>
    </vt:vector>
  </TitlesOfParts>
  <Company>office</Company>
  <LinksUpToDate>false</LinksUpToDate>
  <CharactersWithSpaces>24118</CharactersWithSpaces>
  <SharedDoc>false</SharedDoc>
  <HLinks>
    <vt:vector size="6" baseType="variant">
      <vt:variant>
        <vt:i4>2949236</vt:i4>
      </vt:variant>
      <vt:variant>
        <vt:i4>0</vt:i4>
      </vt:variant>
      <vt:variant>
        <vt:i4>0</vt:i4>
      </vt:variant>
      <vt:variant>
        <vt:i4>5</vt:i4>
      </vt:variant>
      <vt:variant>
        <vt:lpwstr>http://library.stou.ac.th/sites/default/files.editor/APA6th.pdf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ตัวอย่างการเขียนบทความวิชาการ</dc:title>
  <dc:subject/>
  <dc:creator>comgrad</dc:creator>
  <cp:keywords/>
  <dc:description/>
  <cp:lastModifiedBy>JEERAPAN PHOMPRASERT</cp:lastModifiedBy>
  <cp:revision>11</cp:revision>
  <cp:lastPrinted>2019-03-13T09:30:00Z</cp:lastPrinted>
  <dcterms:created xsi:type="dcterms:W3CDTF">2024-02-10T14:47:00Z</dcterms:created>
  <dcterms:modified xsi:type="dcterms:W3CDTF">2024-02-22T11:44:00Z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3961447285ca6763cef115f2156d66e1bb4a29d4e9474cd4f8fb7e9f9888587a</vt:lpwstr>
  </property>
</Properties>
</file>